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right="0"/>
        <w:jc w:val="center"/>
        <w:rPr>
          <w:rFonts w:hint="eastAsia" w:ascii="宋体" w:hAnsi="宋体" w:eastAsia="宋体" w:cs="宋体"/>
          <w:b/>
          <w:bCs/>
          <w:i w:val="0"/>
          <w:iCs w:val="0"/>
          <w:caps w:val="0"/>
          <w:color w:val="000000"/>
          <w:spacing w:val="0"/>
          <w:sz w:val="44"/>
          <w:szCs w:val="44"/>
          <w:highlight w:val="none"/>
          <w:shd w:val="clear" w:color="FFFFFF" w:fill="FFFFFF"/>
          <w:lang w:val="en-US" w:eastAsia="zh-CN"/>
        </w:rPr>
      </w:pPr>
      <w:r>
        <w:rPr>
          <w:rFonts w:hint="eastAsia" w:ascii="宋体" w:hAnsi="宋体" w:eastAsia="宋体" w:cs="宋体"/>
          <w:b/>
          <w:bCs/>
          <w:i w:val="0"/>
          <w:iCs w:val="0"/>
          <w:caps w:val="0"/>
          <w:color w:val="000000"/>
          <w:spacing w:val="0"/>
          <w:sz w:val="44"/>
          <w:szCs w:val="44"/>
          <w:highlight w:val="none"/>
          <w:shd w:val="clear" w:color="FFFFFF" w:fill="FFFFFF"/>
          <w:lang w:val="en-US" w:eastAsia="zh-CN"/>
        </w:rPr>
        <w:t>广西路桥集团南湛路总包部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right="0"/>
        <w:jc w:val="center"/>
        <w:rPr>
          <w:rFonts w:hint="eastAsia" w:ascii="宋体" w:hAnsi="宋体" w:eastAsia="宋体" w:cs="宋体"/>
          <w:b/>
          <w:bCs/>
          <w:i w:val="0"/>
          <w:iCs w:val="0"/>
          <w:caps w:val="0"/>
          <w:color w:val="000000"/>
          <w:spacing w:val="0"/>
          <w:sz w:val="44"/>
          <w:szCs w:val="44"/>
          <w:highlight w:val="none"/>
          <w:shd w:val="clear" w:color="FFFFFF" w:fill="FFFFFF"/>
          <w:lang w:val="en-US" w:eastAsia="zh-CN"/>
        </w:rPr>
      </w:pPr>
      <w:r>
        <w:rPr>
          <w:rFonts w:hint="eastAsia" w:ascii="宋体" w:hAnsi="宋体" w:eastAsia="宋体" w:cs="宋体"/>
          <w:b/>
          <w:bCs/>
          <w:i w:val="0"/>
          <w:iCs w:val="0"/>
          <w:caps w:val="0"/>
          <w:color w:val="000000"/>
          <w:spacing w:val="0"/>
          <w:sz w:val="44"/>
          <w:szCs w:val="44"/>
          <w:highlight w:val="none"/>
          <w:shd w:val="clear" w:color="FFFFFF" w:fill="FFFFFF"/>
          <w:lang w:val="en-US" w:eastAsia="zh-CN"/>
        </w:rPr>
        <w:t>取土场、弃渣场水土保持方案报告书编制</w:t>
      </w:r>
      <w:r>
        <w:rPr>
          <w:rFonts w:hint="eastAsia" w:cs="宋体"/>
          <w:b/>
          <w:bCs/>
          <w:i w:val="0"/>
          <w:iCs w:val="0"/>
          <w:caps w:val="0"/>
          <w:color w:val="000000"/>
          <w:spacing w:val="0"/>
          <w:sz w:val="44"/>
          <w:szCs w:val="44"/>
          <w:highlight w:val="none"/>
          <w:shd w:val="clear" w:color="FFFFFF" w:fill="FFFFFF"/>
          <w:lang w:val="en-US" w:eastAsia="zh-CN"/>
        </w:rPr>
        <w:t>技术服</w:t>
      </w:r>
      <w:bookmarkStart w:id="0" w:name="_GoBack"/>
      <w:bookmarkEnd w:id="0"/>
      <w:r>
        <w:rPr>
          <w:rFonts w:hint="eastAsia" w:cs="宋体"/>
          <w:b/>
          <w:bCs/>
          <w:i w:val="0"/>
          <w:iCs w:val="0"/>
          <w:caps w:val="0"/>
          <w:color w:val="000000"/>
          <w:spacing w:val="0"/>
          <w:sz w:val="44"/>
          <w:szCs w:val="44"/>
          <w:highlight w:val="none"/>
          <w:shd w:val="clear" w:color="FFFFFF" w:fill="FFFFFF"/>
          <w:lang w:val="en-US" w:eastAsia="zh-CN"/>
        </w:rPr>
        <w:t>务采购</w:t>
      </w:r>
      <w:r>
        <w:rPr>
          <w:rFonts w:hint="eastAsia" w:ascii="宋体" w:hAnsi="宋体" w:eastAsia="宋体" w:cs="宋体"/>
          <w:b/>
          <w:bCs/>
          <w:i w:val="0"/>
          <w:iCs w:val="0"/>
          <w:caps w:val="0"/>
          <w:color w:val="000000"/>
          <w:spacing w:val="0"/>
          <w:sz w:val="44"/>
          <w:szCs w:val="44"/>
          <w:highlight w:val="none"/>
          <w:shd w:val="clear" w:color="FFFFFF" w:fill="FFFFFF"/>
          <w:lang w:val="en-US" w:eastAsia="zh-CN"/>
        </w:rPr>
        <w:t>公告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根据工程施工需要，现对广西路桥集团南湛路总包部取土场、弃渣场水土保持方案报告书编制技术服务进行公开采购，具体情况如下：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一、采购项目内容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（一）工程项目概况：南湛路总包部取土场、弃渣场水土保持方案报告书编制技术服务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（二）工程项目预计开工时间：2023年7月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（三）采购项目计税方式：简易计税。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（四）劳务合作管理模式和需求数量：拟选用劳务供应商1个。</w:t>
      </w:r>
    </w:p>
    <w:tbl>
      <w:tblPr>
        <w:tblStyle w:val="5"/>
        <w:tblW w:w="10657" w:type="dxa"/>
        <w:jc w:val="center"/>
        <w:tblLayout w:type="fixed"/>
        <w:tblCellMar>
          <w:top w:w="0" w:type="dxa"/>
          <w:left w:w="0" w:type="dxa"/>
          <w:bottom w:w="0" w:type="dxa"/>
          <w:right w:w="0" w:type="dxa"/>
        </w:tblCellMar>
      </w:tblPr>
      <w:tblGrid>
        <w:gridCol w:w="620"/>
        <w:gridCol w:w="873"/>
        <w:gridCol w:w="900"/>
        <w:gridCol w:w="995"/>
        <w:gridCol w:w="2755"/>
        <w:gridCol w:w="842"/>
        <w:gridCol w:w="2629"/>
        <w:gridCol w:w="1043"/>
      </w:tblGrid>
      <w:tr>
        <w:tblPrEx>
          <w:tblCellMar>
            <w:top w:w="0" w:type="dxa"/>
            <w:left w:w="0" w:type="dxa"/>
            <w:bottom w:w="0" w:type="dxa"/>
            <w:right w:w="0" w:type="dxa"/>
          </w:tblCellMar>
        </w:tblPrEx>
        <w:trPr>
          <w:trHeight w:val="1173" w:hRule="atLeast"/>
          <w:jc w:val="center"/>
        </w:trPr>
        <w:tc>
          <w:tcPr>
            <w:tcW w:w="620" w:type="dxa"/>
            <w:tcBorders>
              <w:top w:val="single" w:color="000000" w:sz="4" w:space="0"/>
              <w:left w:val="single" w:color="000000" w:sz="4" w:space="0"/>
              <w:bottom w:val="single" w:color="auto" w:sz="4" w:space="0"/>
              <w:right w:val="single" w:color="000000" w:sz="4" w:space="0"/>
            </w:tcBorders>
            <w:shd w:val="clear" w:color="auto" w:fill="FFFFFF"/>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lang w:eastAsia="zh-CN" w:bidi="ar"/>
              </w:rPr>
            </w:pPr>
            <w:r>
              <w:rPr>
                <w:rFonts w:hint="eastAsia" w:ascii="宋体" w:hAnsi="宋体" w:eastAsia="宋体" w:cs="宋体"/>
                <w:color w:val="000000"/>
                <w:sz w:val="20"/>
                <w:szCs w:val="20"/>
                <w:lang w:eastAsia="zh-CN" w:bidi="ar"/>
              </w:rPr>
              <w:t>序号</w:t>
            </w:r>
          </w:p>
        </w:tc>
        <w:tc>
          <w:tcPr>
            <w:tcW w:w="873" w:type="dxa"/>
            <w:tcBorders>
              <w:top w:val="single" w:color="000000" w:sz="4" w:space="0"/>
              <w:left w:val="single" w:color="000000" w:sz="4" w:space="0"/>
              <w:bottom w:val="single" w:color="auto" w:sz="4" w:space="0"/>
              <w:right w:val="single" w:color="000000" w:sz="4" w:space="0"/>
            </w:tcBorders>
            <w:shd w:val="clear" w:color="auto" w:fill="FFFFFF"/>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lang w:eastAsia="zh-CN" w:bidi="ar"/>
              </w:rPr>
            </w:pPr>
            <w:r>
              <w:rPr>
                <w:rFonts w:hint="eastAsia" w:ascii="宋体" w:hAnsi="宋体" w:eastAsia="宋体" w:cs="宋体"/>
                <w:color w:val="000000"/>
                <w:sz w:val="20"/>
                <w:szCs w:val="20"/>
                <w:lang w:eastAsia="zh-CN" w:bidi="ar"/>
              </w:rPr>
              <w:t>项目</w:t>
            </w:r>
          </w:p>
          <w:p>
            <w:pPr>
              <w:keepNext w:val="0"/>
              <w:keepLines w:val="0"/>
              <w:pageBreakBefore w:val="0"/>
              <w:widowControl/>
              <w:spacing w:line="400" w:lineRule="exact"/>
              <w:jc w:val="center"/>
              <w:rPr>
                <w:rFonts w:hint="eastAsia" w:ascii="宋体" w:hAnsi="宋体" w:eastAsia="宋体" w:cs="宋体"/>
                <w:color w:val="000000"/>
                <w:sz w:val="20"/>
                <w:szCs w:val="20"/>
                <w:lang w:eastAsia="zh-CN" w:bidi="ar"/>
              </w:rPr>
            </w:pPr>
            <w:r>
              <w:rPr>
                <w:rFonts w:hint="eastAsia" w:ascii="宋体" w:hAnsi="宋体" w:eastAsia="宋体" w:cs="宋体"/>
                <w:color w:val="000000"/>
                <w:sz w:val="20"/>
                <w:szCs w:val="20"/>
                <w:lang w:eastAsia="zh-CN" w:bidi="ar"/>
              </w:rPr>
              <w:t>名称</w:t>
            </w:r>
          </w:p>
        </w:tc>
        <w:tc>
          <w:tcPr>
            <w:tcW w:w="900" w:type="dxa"/>
            <w:tcBorders>
              <w:top w:val="single" w:color="000000" w:sz="4" w:space="0"/>
              <w:left w:val="single" w:color="000000" w:sz="4" w:space="0"/>
              <w:bottom w:val="single" w:color="000000" w:sz="4" w:space="0"/>
              <w:right w:val="single" w:color="000000" w:sz="4" w:space="0"/>
            </w:tcBorders>
            <w:shd w:val="clear" w:color="auto" w:fill="FFFFFF"/>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lang w:bidi="ar"/>
              </w:rPr>
            </w:pPr>
            <w:r>
              <w:rPr>
                <w:rFonts w:hint="eastAsia" w:ascii="宋体" w:hAnsi="宋体" w:eastAsia="宋体" w:cs="宋体"/>
                <w:color w:val="000000"/>
                <w:sz w:val="20"/>
                <w:szCs w:val="20"/>
                <w:lang w:bidi="ar"/>
              </w:rPr>
              <w:t>工程</w:t>
            </w:r>
          </w:p>
          <w:p>
            <w:pPr>
              <w:keepNext w:val="0"/>
              <w:keepLines w:val="0"/>
              <w:pageBreakBefore w:val="0"/>
              <w:widowControl/>
              <w:spacing w:line="400" w:lineRule="exact"/>
              <w:jc w:val="center"/>
              <w:rPr>
                <w:rFonts w:hint="eastAsia" w:ascii="宋体" w:hAnsi="宋体" w:eastAsia="宋体" w:cs="宋体"/>
                <w:color w:val="000000"/>
                <w:sz w:val="20"/>
                <w:szCs w:val="20"/>
              </w:rPr>
            </w:pPr>
            <w:r>
              <w:rPr>
                <w:rFonts w:hint="eastAsia" w:ascii="宋体" w:hAnsi="宋体" w:eastAsia="宋体" w:cs="宋体"/>
                <w:color w:val="000000"/>
                <w:sz w:val="20"/>
                <w:szCs w:val="20"/>
                <w:lang w:bidi="ar"/>
              </w:rPr>
              <w:t>内容</w:t>
            </w:r>
          </w:p>
        </w:tc>
        <w:tc>
          <w:tcPr>
            <w:tcW w:w="995" w:type="dxa"/>
            <w:tcBorders>
              <w:top w:val="single" w:color="000000" w:sz="4" w:space="0"/>
              <w:left w:val="single" w:color="000000" w:sz="4" w:space="0"/>
              <w:bottom w:val="single" w:color="000000" w:sz="4" w:space="0"/>
              <w:right w:val="single" w:color="000000" w:sz="4" w:space="0"/>
            </w:tcBorders>
            <w:shd w:val="clear" w:color="auto" w:fill="FFFFFF"/>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lang w:bidi="ar"/>
              </w:rPr>
            </w:pPr>
            <w:r>
              <w:rPr>
                <w:rFonts w:hint="eastAsia" w:ascii="宋体" w:hAnsi="宋体" w:eastAsia="宋体" w:cs="宋体"/>
                <w:color w:val="000000"/>
                <w:sz w:val="20"/>
                <w:szCs w:val="20"/>
                <w:lang w:bidi="ar"/>
              </w:rPr>
              <w:t>里程桩号</w:t>
            </w:r>
          </w:p>
          <w:p>
            <w:pPr>
              <w:keepNext w:val="0"/>
              <w:keepLines w:val="0"/>
              <w:pageBreakBefore w:val="0"/>
              <w:widowControl/>
              <w:spacing w:line="400" w:lineRule="exact"/>
              <w:jc w:val="center"/>
              <w:rPr>
                <w:rFonts w:hint="eastAsia" w:ascii="宋体" w:hAnsi="宋体" w:eastAsia="宋体" w:cs="宋体"/>
                <w:color w:val="000000"/>
                <w:sz w:val="20"/>
                <w:szCs w:val="20"/>
              </w:rPr>
            </w:pPr>
            <w:r>
              <w:rPr>
                <w:rFonts w:hint="eastAsia" w:ascii="宋体" w:hAnsi="宋体" w:eastAsia="宋体" w:cs="宋体"/>
                <w:color w:val="000000"/>
                <w:sz w:val="20"/>
                <w:szCs w:val="20"/>
                <w:lang w:bidi="ar"/>
              </w:rPr>
              <w:t>（长度）</w:t>
            </w:r>
          </w:p>
        </w:tc>
        <w:tc>
          <w:tcPr>
            <w:tcW w:w="2755" w:type="dxa"/>
            <w:tcBorders>
              <w:top w:val="single" w:color="000000" w:sz="4" w:space="0"/>
              <w:left w:val="single" w:color="000000" w:sz="4" w:space="0"/>
              <w:bottom w:val="single" w:color="000000" w:sz="4" w:space="0"/>
              <w:right w:val="single" w:color="000000" w:sz="4" w:space="0"/>
            </w:tcBorders>
            <w:shd w:val="clear" w:color="auto" w:fill="FFFFFF"/>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lang w:bidi="ar"/>
              </w:rPr>
            </w:pPr>
            <w:r>
              <w:rPr>
                <w:rFonts w:hint="eastAsia" w:ascii="宋体" w:hAnsi="宋体" w:eastAsia="宋体" w:cs="宋体"/>
                <w:color w:val="000000"/>
                <w:sz w:val="20"/>
                <w:szCs w:val="20"/>
                <w:lang w:bidi="ar"/>
              </w:rPr>
              <w:t>主要工程项目</w:t>
            </w:r>
          </w:p>
          <w:p>
            <w:pPr>
              <w:keepNext w:val="0"/>
              <w:keepLines w:val="0"/>
              <w:pageBreakBefore w:val="0"/>
              <w:widowControl/>
              <w:spacing w:line="400" w:lineRule="exact"/>
              <w:jc w:val="center"/>
              <w:rPr>
                <w:rFonts w:hint="eastAsia" w:ascii="宋体" w:hAnsi="宋体" w:eastAsia="宋体" w:cs="宋体"/>
                <w:color w:val="000000"/>
                <w:sz w:val="20"/>
                <w:szCs w:val="20"/>
              </w:rPr>
            </w:pPr>
            <w:r>
              <w:rPr>
                <w:rFonts w:hint="eastAsia" w:ascii="宋体" w:hAnsi="宋体" w:eastAsia="宋体" w:cs="宋体"/>
                <w:color w:val="000000"/>
                <w:sz w:val="20"/>
                <w:szCs w:val="20"/>
                <w:lang w:bidi="ar"/>
              </w:rPr>
              <w:t>及工程量</w:t>
            </w:r>
          </w:p>
        </w:tc>
        <w:tc>
          <w:tcPr>
            <w:tcW w:w="842" w:type="dxa"/>
            <w:tcBorders>
              <w:top w:val="single" w:color="000000" w:sz="4" w:space="0"/>
              <w:left w:val="single" w:color="000000" w:sz="4" w:space="0"/>
              <w:bottom w:val="single" w:color="000000" w:sz="4" w:space="0"/>
              <w:right w:val="single" w:color="000000" w:sz="4" w:space="0"/>
            </w:tcBorders>
            <w:shd w:val="clear" w:color="auto" w:fill="FFFFFF"/>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rPr>
            </w:pPr>
            <w:r>
              <w:rPr>
                <w:rFonts w:hint="eastAsia" w:ascii="宋体" w:hAnsi="宋体" w:eastAsia="宋体" w:cs="宋体"/>
                <w:color w:val="000000"/>
                <w:sz w:val="20"/>
                <w:szCs w:val="20"/>
                <w:lang w:bidi="ar"/>
              </w:rPr>
              <w:t>合同工期（月）</w:t>
            </w:r>
          </w:p>
        </w:tc>
        <w:tc>
          <w:tcPr>
            <w:tcW w:w="2629" w:type="dxa"/>
            <w:tcBorders>
              <w:top w:val="single" w:color="000000" w:sz="4" w:space="0"/>
              <w:left w:val="single" w:color="000000" w:sz="4" w:space="0"/>
              <w:bottom w:val="single" w:color="000000" w:sz="4" w:space="0"/>
              <w:right w:val="single" w:color="000000" w:sz="4" w:space="0"/>
            </w:tcBorders>
            <w:shd w:val="clear" w:color="auto" w:fill="FFFFFF"/>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lang w:bidi="ar"/>
              </w:rPr>
            </w:pPr>
            <w:r>
              <w:rPr>
                <w:rFonts w:hint="eastAsia" w:ascii="宋体" w:hAnsi="宋体" w:eastAsia="宋体" w:cs="宋体"/>
                <w:color w:val="000000"/>
                <w:sz w:val="20"/>
                <w:szCs w:val="20"/>
                <w:lang w:bidi="ar"/>
              </w:rPr>
              <w:t>允许报名</w:t>
            </w:r>
            <w:r>
              <w:rPr>
                <w:rFonts w:hint="eastAsia" w:ascii="宋体" w:hAnsi="宋体" w:eastAsia="宋体" w:cs="宋体"/>
                <w:color w:val="000000"/>
                <w:sz w:val="20"/>
                <w:szCs w:val="20"/>
                <w:lang w:eastAsia="zh-CN" w:bidi="ar"/>
              </w:rPr>
              <w:t>评价</w:t>
            </w:r>
            <w:r>
              <w:rPr>
                <w:rFonts w:hint="eastAsia" w:ascii="宋体" w:hAnsi="宋体" w:eastAsia="宋体" w:cs="宋体"/>
                <w:color w:val="000000"/>
                <w:sz w:val="20"/>
                <w:szCs w:val="20"/>
                <w:lang w:bidi="ar"/>
              </w:rPr>
              <w:t>等级</w:t>
            </w:r>
          </w:p>
        </w:tc>
        <w:tc>
          <w:tcPr>
            <w:tcW w:w="1043" w:type="dxa"/>
            <w:tcBorders>
              <w:top w:val="single" w:color="000000" w:sz="4" w:space="0"/>
              <w:left w:val="single" w:color="000000" w:sz="4" w:space="0"/>
              <w:bottom w:val="single" w:color="000000" w:sz="4" w:space="0"/>
              <w:right w:val="single" w:color="000000" w:sz="4" w:space="0"/>
            </w:tcBorders>
            <w:shd w:val="clear" w:color="auto" w:fill="FFFFFF"/>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lang w:bidi="ar"/>
              </w:rPr>
            </w:pPr>
            <w:r>
              <w:rPr>
                <w:rFonts w:hint="eastAsia" w:ascii="宋体" w:hAnsi="宋体" w:eastAsia="宋体" w:cs="宋体"/>
                <w:color w:val="000000"/>
                <w:sz w:val="20"/>
                <w:szCs w:val="20"/>
                <w:lang w:eastAsia="zh-CN" w:bidi="ar"/>
              </w:rPr>
              <w:t>拟选用劳务供应商</w:t>
            </w:r>
          </w:p>
        </w:tc>
      </w:tr>
      <w:tr>
        <w:tblPrEx>
          <w:tblCellMar>
            <w:top w:w="0" w:type="dxa"/>
            <w:left w:w="0" w:type="dxa"/>
            <w:bottom w:w="0" w:type="dxa"/>
            <w:right w:w="0" w:type="dxa"/>
          </w:tblCellMar>
        </w:tblPrEx>
        <w:trPr>
          <w:trHeight w:val="90" w:hRule="atLeast"/>
          <w:jc w:val="center"/>
        </w:trPr>
        <w:tc>
          <w:tcPr>
            <w:tcW w:w="620" w:type="dxa"/>
            <w:tcBorders>
              <w:top w:val="single" w:color="auto" w:sz="4" w:space="0"/>
              <w:left w:val="single" w:color="auto" w:sz="4" w:space="0"/>
              <w:bottom w:val="single" w:color="auto" w:sz="4" w:space="0"/>
              <w:right w:val="single" w:color="auto" w:sz="4" w:space="0"/>
            </w:tcBorders>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lang w:val="en-US" w:eastAsia="zh-CN" w:bidi="ar"/>
              </w:rPr>
            </w:pPr>
            <w:r>
              <w:rPr>
                <w:rFonts w:hint="eastAsia" w:ascii="宋体" w:hAnsi="宋体" w:eastAsia="宋体" w:cs="宋体"/>
                <w:color w:val="000000"/>
                <w:sz w:val="20"/>
                <w:szCs w:val="20"/>
                <w:lang w:val="en-US" w:eastAsia="zh-CN" w:bidi="ar"/>
              </w:rPr>
              <w:t>1</w:t>
            </w:r>
          </w:p>
        </w:tc>
        <w:tc>
          <w:tcPr>
            <w:tcW w:w="873" w:type="dxa"/>
            <w:tcBorders>
              <w:top w:val="single" w:color="auto" w:sz="4" w:space="0"/>
              <w:left w:val="single" w:color="auto" w:sz="4" w:space="0"/>
              <w:bottom w:val="single" w:color="auto" w:sz="4" w:space="0"/>
              <w:right w:val="single" w:color="auto" w:sz="4" w:space="0"/>
            </w:tcBorders>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000000"/>
                <w:sz w:val="20"/>
                <w:szCs w:val="20"/>
                <w:lang w:val="en-US" w:eastAsia="zh-CN" w:bidi="ar"/>
              </w:rPr>
            </w:pPr>
            <w:r>
              <w:rPr>
                <w:rFonts w:hint="eastAsia" w:ascii="宋体" w:hAnsi="宋体" w:cs="宋体"/>
                <w:color w:val="000000"/>
                <w:sz w:val="20"/>
                <w:szCs w:val="20"/>
                <w:lang w:val="en-US" w:eastAsia="zh-CN" w:bidi="ar"/>
              </w:rPr>
              <w:t>南湛路总包部</w:t>
            </w:r>
          </w:p>
        </w:tc>
        <w:tc>
          <w:tcPr>
            <w:tcW w:w="900" w:type="dxa"/>
            <w:tcBorders>
              <w:top w:val="single" w:color="000000" w:sz="4" w:space="0"/>
              <w:left w:val="single" w:color="auto" w:sz="4" w:space="0"/>
              <w:bottom w:val="single" w:color="000000" w:sz="4" w:space="0"/>
              <w:right w:val="single" w:color="000000" w:sz="4" w:space="0"/>
            </w:tcBorders>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cs="宋体"/>
                <w:b w:val="0"/>
                <w:bCs w:val="0"/>
                <w:i w:val="0"/>
                <w:iCs w:val="0"/>
                <w:caps w:val="0"/>
                <w:color w:val="000000"/>
                <w:spacing w:val="0"/>
                <w:sz w:val="20"/>
                <w:szCs w:val="20"/>
                <w:shd w:val="clear" w:color="auto" w:fill="FFFFFF"/>
                <w:lang w:val="en-US" w:eastAsia="zh-CN"/>
              </w:rPr>
            </w:pPr>
            <w:r>
              <w:rPr>
                <w:rFonts w:hint="eastAsia" w:ascii="宋体" w:hAnsi="宋体" w:cs="宋体"/>
                <w:b w:val="0"/>
                <w:bCs w:val="0"/>
                <w:i w:val="0"/>
                <w:iCs w:val="0"/>
                <w:caps w:val="0"/>
                <w:color w:val="000000"/>
                <w:spacing w:val="0"/>
                <w:sz w:val="20"/>
                <w:szCs w:val="20"/>
                <w:shd w:val="clear" w:color="auto" w:fill="FFFFFF"/>
                <w:lang w:val="en-US" w:eastAsia="zh-CN"/>
              </w:rPr>
              <w:t>村道修复</w:t>
            </w:r>
          </w:p>
          <w:p>
            <w:pPr>
              <w:keepNext w:val="0"/>
              <w:keepLines w:val="0"/>
              <w:pageBreakBefore w:val="0"/>
              <w:widowControl/>
              <w:spacing w:line="400" w:lineRule="exact"/>
              <w:jc w:val="center"/>
              <w:rPr>
                <w:rFonts w:hint="eastAsia" w:ascii="宋体" w:hAnsi="宋体" w:eastAsia="宋体" w:cs="宋体"/>
                <w:color w:val="000000"/>
                <w:sz w:val="20"/>
                <w:szCs w:val="20"/>
                <w:lang w:val="en-US" w:eastAsia="zh-CN" w:bidi="ar"/>
              </w:rPr>
            </w:pPr>
            <w:r>
              <w:rPr>
                <w:rFonts w:hint="eastAsia" w:ascii="宋体" w:hAnsi="宋体" w:eastAsia="宋体" w:cs="宋体"/>
                <w:b w:val="0"/>
                <w:bCs w:val="0"/>
                <w:i w:val="0"/>
                <w:iCs w:val="0"/>
                <w:caps w:val="0"/>
                <w:color w:val="000000"/>
                <w:spacing w:val="0"/>
                <w:sz w:val="20"/>
                <w:szCs w:val="20"/>
                <w:shd w:val="clear" w:color="auto" w:fill="FFFFFF"/>
                <w:lang w:val="en-US" w:eastAsia="zh-CN"/>
              </w:rPr>
              <w:t>工程</w:t>
            </w:r>
          </w:p>
        </w:tc>
        <w:tc>
          <w:tcPr>
            <w:tcW w:w="995" w:type="dxa"/>
            <w:tcBorders>
              <w:top w:val="single" w:color="000000" w:sz="4" w:space="0"/>
              <w:left w:val="single" w:color="000000" w:sz="4" w:space="0"/>
              <w:bottom w:val="single" w:color="000000" w:sz="4" w:space="0"/>
              <w:right w:val="single" w:color="000000" w:sz="4" w:space="0"/>
            </w:tcBorders>
            <w:noWrap w:val="0"/>
            <w:tcMar>
              <w:top w:w="9" w:type="dxa"/>
              <w:left w:w="9" w:type="dxa"/>
              <w:right w:w="9" w:type="dxa"/>
            </w:tcMar>
            <w:vAlign w:val="center"/>
          </w:tcPr>
          <w:p>
            <w:pPr>
              <w:keepNext w:val="0"/>
              <w:keepLines w:val="0"/>
              <w:pageBreakBefore w:val="0"/>
              <w:widowControl/>
              <w:spacing w:line="400" w:lineRule="exact"/>
              <w:jc w:val="center"/>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K115+</w:t>
            </w:r>
            <w:r>
              <w:rPr>
                <w:rFonts w:hint="eastAsia" w:ascii="宋体" w:hAnsi="宋体" w:cs="宋体"/>
                <w:color w:val="auto"/>
                <w:sz w:val="20"/>
                <w:szCs w:val="20"/>
                <w:lang w:val="en-US" w:eastAsia="zh-CN"/>
              </w:rPr>
              <w:t>260</w:t>
            </w:r>
            <w:r>
              <w:rPr>
                <w:rFonts w:hint="eastAsia" w:ascii="宋体" w:hAnsi="宋体" w:eastAsia="宋体" w:cs="宋体"/>
                <w:color w:val="auto"/>
                <w:sz w:val="20"/>
                <w:szCs w:val="20"/>
                <w:lang w:val="en-US" w:eastAsia="zh-CN"/>
              </w:rPr>
              <w:t>-K185+</w:t>
            </w:r>
            <w:r>
              <w:rPr>
                <w:rFonts w:hint="eastAsia" w:ascii="宋体" w:hAnsi="宋体" w:cs="宋体"/>
                <w:color w:val="auto"/>
                <w:sz w:val="20"/>
                <w:szCs w:val="20"/>
                <w:lang w:val="en-US" w:eastAsia="zh-CN"/>
              </w:rPr>
              <w:t>262.48</w:t>
            </w:r>
          </w:p>
        </w:tc>
        <w:tc>
          <w:tcPr>
            <w:tcW w:w="2755" w:type="dxa"/>
            <w:tcBorders>
              <w:top w:val="single" w:color="000000" w:sz="4" w:space="0"/>
              <w:left w:val="single" w:color="000000" w:sz="4" w:space="0"/>
              <w:bottom w:val="single" w:color="000000" w:sz="4" w:space="0"/>
              <w:right w:val="single" w:color="000000" w:sz="4" w:space="0"/>
            </w:tcBorders>
            <w:noWrap w:val="0"/>
            <w:tcMar>
              <w:top w:w="9" w:type="dxa"/>
              <w:left w:w="9" w:type="dxa"/>
              <w:right w:w="9" w:type="dxa"/>
            </w:tcMar>
            <w:vAlign w:val="center"/>
          </w:tcPr>
          <w:p>
            <w:pPr>
              <w:keepNext w:val="0"/>
              <w:keepLines w:val="0"/>
              <w:pageBreakBefore w:val="0"/>
              <w:widowControl/>
              <w:spacing w:line="400" w:lineRule="exact"/>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取土场、弃渣场水土保持方案报告编制技术服务</w:t>
            </w:r>
          </w:p>
        </w:tc>
        <w:tc>
          <w:tcPr>
            <w:tcW w:w="842" w:type="dxa"/>
            <w:tcBorders>
              <w:top w:val="single" w:color="000000" w:sz="4" w:space="0"/>
              <w:left w:val="single" w:color="000000" w:sz="4" w:space="0"/>
              <w:bottom w:val="single" w:color="000000" w:sz="4" w:space="0"/>
              <w:right w:val="single" w:color="000000" w:sz="4" w:space="0"/>
            </w:tcBorders>
            <w:noWrap w:val="0"/>
            <w:tcMar>
              <w:top w:w="9" w:type="dxa"/>
              <w:left w:w="9" w:type="dxa"/>
              <w:right w:w="9" w:type="dxa"/>
            </w:tcMar>
            <w:vAlign w:val="center"/>
          </w:tcPr>
          <w:p>
            <w:pPr>
              <w:keepNext w:val="0"/>
              <w:keepLines w:val="0"/>
              <w:pageBreakBefore w:val="0"/>
              <w:widowControl/>
              <w:spacing w:line="400" w:lineRule="exact"/>
              <w:jc w:val="center"/>
              <w:rPr>
                <w:rFonts w:hint="default" w:ascii="宋体" w:hAnsi="宋体" w:eastAsia="宋体" w:cs="宋体"/>
                <w:color w:val="000000"/>
                <w:sz w:val="20"/>
                <w:szCs w:val="20"/>
                <w:lang w:val="en-US" w:eastAsia="zh-CN" w:bidi="ar"/>
              </w:rPr>
            </w:pPr>
            <w:r>
              <w:rPr>
                <w:rFonts w:hint="eastAsia" w:ascii="宋体" w:hAnsi="宋体" w:cs="宋体"/>
                <w:color w:val="000000"/>
                <w:sz w:val="20"/>
                <w:szCs w:val="20"/>
                <w:lang w:val="en-US" w:eastAsia="zh-CN" w:bidi="ar"/>
              </w:rPr>
              <w:t>1</w:t>
            </w:r>
          </w:p>
        </w:tc>
        <w:tc>
          <w:tcPr>
            <w:tcW w:w="2629" w:type="dxa"/>
            <w:tcBorders>
              <w:left w:val="single" w:color="000000" w:sz="4" w:space="0"/>
              <w:bottom w:val="single" w:color="000000" w:sz="4" w:space="0"/>
              <w:right w:val="single" w:color="000000" w:sz="4" w:space="0"/>
            </w:tcBorders>
            <w:noWrap w:val="0"/>
            <w:tcMar>
              <w:top w:w="9" w:type="dxa"/>
              <w:left w:w="9" w:type="dxa"/>
              <w:right w:w="9" w:type="dxa"/>
            </w:tcMar>
            <w:vAlign w:val="center"/>
          </w:tcPr>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left"/>
              <w:textAlignment w:val="auto"/>
              <w:rPr>
                <w:rFonts w:hint="eastAsia" w:ascii="宋体" w:hAnsi="宋体" w:eastAsia="宋体" w:cs="宋体"/>
                <w:i w:val="0"/>
                <w:iCs w:val="0"/>
                <w:caps w:val="0"/>
                <w:color w:val="1C1C1C"/>
                <w:spacing w:val="0"/>
                <w:sz w:val="20"/>
                <w:szCs w:val="20"/>
              </w:rPr>
            </w:pPr>
            <w:r>
              <w:rPr>
                <w:rFonts w:hint="eastAsia" w:ascii="宋体" w:hAnsi="宋体" w:eastAsia="宋体" w:cs="宋体"/>
                <w:i w:val="0"/>
                <w:iCs w:val="0"/>
                <w:caps w:val="0"/>
                <w:color w:val="1C1C1C"/>
                <w:spacing w:val="0"/>
                <w:sz w:val="20"/>
                <w:szCs w:val="20"/>
              </w:rPr>
              <w:t>报名供应商须同时满足以下两个要求：</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left"/>
              <w:textAlignment w:val="auto"/>
              <w:rPr>
                <w:rFonts w:hint="default" w:ascii="宋体" w:hAnsi="宋体" w:eastAsia="宋体" w:cs="宋体"/>
                <w:sz w:val="20"/>
                <w:szCs w:val="20"/>
                <w:lang w:val="en-US" w:eastAsia="zh-CN"/>
              </w:rPr>
            </w:pPr>
            <w:r>
              <w:rPr>
                <w:rFonts w:hint="eastAsia" w:ascii="宋体" w:hAnsi="宋体" w:eastAsia="宋体" w:cs="宋体"/>
                <w:i w:val="0"/>
                <w:iCs w:val="0"/>
                <w:caps w:val="0"/>
                <w:color w:val="1C1C1C"/>
                <w:spacing w:val="0"/>
                <w:sz w:val="20"/>
                <w:szCs w:val="20"/>
                <w:lang w:val="en-US" w:eastAsia="zh-CN"/>
              </w:rPr>
              <w:t>1.</w:t>
            </w:r>
            <w:r>
              <w:rPr>
                <w:rFonts w:hint="eastAsia" w:ascii="宋体" w:hAnsi="宋体" w:eastAsia="宋体" w:cs="宋体"/>
                <w:i w:val="0"/>
                <w:iCs w:val="0"/>
                <w:caps w:val="0"/>
                <w:color w:val="1C1C1C"/>
                <w:spacing w:val="0"/>
                <w:sz w:val="20"/>
                <w:szCs w:val="20"/>
              </w:rPr>
              <w:t>注册有路桥专业：</w:t>
            </w:r>
            <w:r>
              <w:rPr>
                <w:rFonts w:hint="eastAsia" w:cs="宋体"/>
                <w:color w:val="000000"/>
                <w:sz w:val="20"/>
                <w:szCs w:val="20"/>
                <w:lang w:val="en-US" w:eastAsia="zh-CN" w:bidi="ar"/>
              </w:rPr>
              <w:t>设计</w:t>
            </w:r>
            <w:r>
              <w:rPr>
                <w:rFonts w:hint="eastAsia" w:ascii="宋体" w:hAnsi="宋体" w:eastAsia="宋体" w:cs="宋体"/>
                <w:color w:val="000000"/>
                <w:sz w:val="20"/>
                <w:szCs w:val="20"/>
                <w:lang w:val="en-US" w:eastAsia="zh-CN" w:bidi="ar"/>
              </w:rPr>
              <w:t>B</w:t>
            </w:r>
            <w:r>
              <w:rPr>
                <w:rFonts w:hint="eastAsia" w:cs="宋体"/>
                <w:color w:val="000000"/>
                <w:sz w:val="20"/>
                <w:szCs w:val="20"/>
                <w:lang w:val="en-US" w:eastAsia="zh-CN" w:bidi="ar"/>
              </w:rPr>
              <w:t>、</w:t>
            </w:r>
            <w:r>
              <w:rPr>
                <w:rFonts w:hint="eastAsia" w:ascii="宋体" w:hAnsi="宋体" w:cs="宋体"/>
                <w:b w:val="0"/>
                <w:bCs w:val="0"/>
                <w:i w:val="0"/>
                <w:iCs w:val="0"/>
                <w:color w:val="000000"/>
                <w:sz w:val="20"/>
                <w:szCs w:val="20"/>
                <w:u w:val="none"/>
                <w:lang w:val="en-US" w:eastAsia="zh-CN" w:bidi="ar"/>
              </w:rPr>
              <w:t>C级</w:t>
            </w:r>
            <w:r>
              <w:rPr>
                <w:rFonts w:hint="eastAsia" w:ascii="宋体" w:hAnsi="宋体" w:eastAsia="宋体" w:cs="宋体"/>
                <w:b w:val="0"/>
                <w:bCs w:val="0"/>
                <w:i w:val="0"/>
                <w:iCs w:val="0"/>
                <w:color w:val="000000"/>
                <w:sz w:val="20"/>
                <w:szCs w:val="20"/>
                <w:u w:val="none"/>
                <w:lang w:val="en-US" w:eastAsia="zh-CN" w:bidi="ar"/>
              </w:rPr>
              <w:t>；</w:t>
            </w:r>
            <w:r>
              <w:rPr>
                <w:rFonts w:hint="eastAsia" w:cs="宋体"/>
                <w:color w:val="000000"/>
                <w:sz w:val="20"/>
                <w:szCs w:val="20"/>
                <w:lang w:val="en-US" w:eastAsia="zh-CN" w:bidi="ar"/>
              </w:rPr>
              <w:t>勘察</w:t>
            </w:r>
            <w:r>
              <w:rPr>
                <w:rFonts w:hint="eastAsia" w:ascii="宋体" w:hAnsi="宋体" w:eastAsia="宋体" w:cs="宋体"/>
                <w:color w:val="000000"/>
                <w:sz w:val="20"/>
                <w:szCs w:val="20"/>
                <w:lang w:val="en-US" w:eastAsia="zh-CN" w:bidi="ar"/>
              </w:rPr>
              <w:t>B</w:t>
            </w:r>
            <w:r>
              <w:rPr>
                <w:rFonts w:hint="eastAsia" w:cs="宋体"/>
                <w:color w:val="000000"/>
                <w:sz w:val="20"/>
                <w:szCs w:val="20"/>
                <w:lang w:val="en-US" w:eastAsia="zh-CN" w:bidi="ar"/>
              </w:rPr>
              <w:t>、</w:t>
            </w:r>
            <w:r>
              <w:rPr>
                <w:rFonts w:hint="eastAsia" w:ascii="宋体" w:hAnsi="宋体" w:cs="宋体"/>
                <w:b w:val="0"/>
                <w:bCs w:val="0"/>
                <w:i w:val="0"/>
                <w:iCs w:val="0"/>
                <w:color w:val="000000"/>
                <w:sz w:val="20"/>
                <w:szCs w:val="20"/>
                <w:u w:val="none"/>
                <w:lang w:val="en-US" w:eastAsia="zh-CN" w:bidi="ar"/>
              </w:rPr>
              <w:t>C级</w:t>
            </w:r>
            <w:r>
              <w:rPr>
                <w:rFonts w:hint="eastAsia" w:ascii="宋体" w:hAnsi="宋体" w:eastAsia="宋体" w:cs="宋体"/>
                <w:b w:val="0"/>
                <w:bCs w:val="0"/>
                <w:i w:val="0"/>
                <w:iCs w:val="0"/>
                <w:color w:val="000000"/>
                <w:sz w:val="20"/>
                <w:szCs w:val="20"/>
                <w:u w:val="none"/>
                <w:lang w:val="en-US" w:eastAsia="zh-CN" w:bidi="ar"/>
              </w:rPr>
              <w:t>；</w:t>
            </w:r>
            <w:r>
              <w:rPr>
                <w:rFonts w:hint="eastAsia" w:cs="宋体"/>
                <w:color w:val="000000"/>
                <w:sz w:val="20"/>
                <w:szCs w:val="20"/>
                <w:lang w:val="en-US" w:eastAsia="zh-CN" w:bidi="ar"/>
              </w:rPr>
              <w:t>其他咨询服务</w:t>
            </w:r>
            <w:r>
              <w:rPr>
                <w:rFonts w:hint="eastAsia" w:ascii="宋体" w:hAnsi="宋体" w:eastAsia="宋体" w:cs="宋体"/>
                <w:color w:val="000000"/>
                <w:sz w:val="20"/>
                <w:szCs w:val="20"/>
                <w:lang w:val="en-US" w:eastAsia="zh-CN" w:bidi="ar"/>
              </w:rPr>
              <w:t>B</w:t>
            </w:r>
            <w:r>
              <w:rPr>
                <w:rFonts w:hint="eastAsia" w:cs="宋体"/>
                <w:color w:val="000000"/>
                <w:sz w:val="20"/>
                <w:szCs w:val="20"/>
                <w:lang w:val="en-US" w:eastAsia="zh-CN" w:bidi="ar"/>
              </w:rPr>
              <w:t>、</w:t>
            </w:r>
            <w:r>
              <w:rPr>
                <w:rFonts w:hint="eastAsia" w:ascii="宋体" w:hAnsi="宋体" w:cs="宋体"/>
                <w:b w:val="0"/>
                <w:bCs w:val="0"/>
                <w:i w:val="0"/>
                <w:iCs w:val="0"/>
                <w:color w:val="000000"/>
                <w:sz w:val="20"/>
                <w:szCs w:val="20"/>
                <w:u w:val="none"/>
                <w:lang w:val="en-US" w:eastAsia="zh-CN" w:bidi="ar"/>
              </w:rPr>
              <w:t>C级</w:t>
            </w:r>
            <w:r>
              <w:rPr>
                <w:rFonts w:hint="eastAsia" w:ascii="宋体" w:hAnsi="宋体" w:eastAsia="宋体" w:cs="宋体"/>
                <w:b w:val="0"/>
                <w:bCs w:val="0"/>
                <w:i w:val="0"/>
                <w:iCs w:val="0"/>
                <w:color w:val="000000"/>
                <w:sz w:val="20"/>
                <w:szCs w:val="20"/>
                <w:u w:val="none"/>
                <w:lang w:val="en-US" w:eastAsia="zh-CN" w:bidi="ar"/>
              </w:rPr>
              <w:t>；</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rPr>
                <w:rFonts w:hint="eastAsia" w:ascii="宋体" w:hAnsi="宋体" w:eastAsia="宋体" w:cs="宋体"/>
                <w:color w:val="auto"/>
                <w:sz w:val="20"/>
                <w:szCs w:val="20"/>
                <w:lang w:val="en-US" w:eastAsia="zh-CN" w:bidi="ar"/>
              </w:rPr>
            </w:pPr>
            <w:r>
              <w:rPr>
                <w:rFonts w:hint="eastAsia" w:ascii="宋体" w:hAnsi="宋体" w:eastAsia="宋体" w:cs="宋体"/>
                <w:i w:val="0"/>
                <w:iCs w:val="0"/>
                <w:caps w:val="0"/>
                <w:color w:val="1C1C1C"/>
                <w:spacing w:val="0"/>
                <w:sz w:val="20"/>
                <w:szCs w:val="20"/>
              </w:rPr>
              <w:t>2.已在北投电子</w:t>
            </w:r>
            <w:r>
              <w:rPr>
                <w:rFonts w:hint="eastAsia" w:cs="宋体"/>
                <w:i w:val="0"/>
                <w:iCs w:val="0"/>
                <w:caps w:val="0"/>
                <w:color w:val="1C1C1C"/>
                <w:spacing w:val="0"/>
                <w:sz w:val="20"/>
                <w:szCs w:val="20"/>
                <w:lang w:eastAsia="zh-CN"/>
              </w:rPr>
              <w:t>招采</w:t>
            </w:r>
            <w:r>
              <w:rPr>
                <w:rFonts w:hint="eastAsia" w:ascii="宋体" w:hAnsi="宋体" w:eastAsia="宋体" w:cs="宋体"/>
                <w:i w:val="0"/>
                <w:iCs w:val="0"/>
                <w:caps w:val="0"/>
                <w:color w:val="1C1C1C"/>
                <w:spacing w:val="0"/>
                <w:sz w:val="20"/>
                <w:szCs w:val="20"/>
              </w:rPr>
              <w:t>系统注册【工程类专业】。</w:t>
            </w:r>
          </w:p>
        </w:tc>
        <w:tc>
          <w:tcPr>
            <w:tcW w:w="1043" w:type="dxa"/>
            <w:tcBorders>
              <w:left w:val="single" w:color="000000" w:sz="4" w:space="0"/>
              <w:bottom w:val="single" w:color="000000" w:sz="4" w:space="0"/>
              <w:right w:val="single" w:color="000000" w:sz="4" w:space="0"/>
            </w:tcBorders>
            <w:noWrap w:val="0"/>
            <w:tcMar>
              <w:top w:w="9" w:type="dxa"/>
              <w:left w:w="9" w:type="dxa"/>
              <w:right w:w="9" w:type="dxa"/>
            </w:tcMar>
            <w:vAlign w:val="center"/>
          </w:tcPr>
          <w:p>
            <w:pPr>
              <w:keepNext w:val="0"/>
              <w:keepLines w:val="0"/>
              <w:pageBreakBefore w:val="0"/>
              <w:widowControl/>
              <w:spacing w:line="560" w:lineRule="exact"/>
              <w:jc w:val="center"/>
              <w:rPr>
                <w:rFonts w:hint="eastAsia" w:ascii="宋体" w:hAnsi="宋体" w:eastAsia="宋体" w:cs="宋体"/>
                <w:color w:val="000000"/>
                <w:sz w:val="20"/>
                <w:szCs w:val="20"/>
                <w:lang w:val="en-US" w:eastAsia="zh-CN" w:bidi="ar"/>
              </w:rPr>
            </w:pPr>
            <w:r>
              <w:rPr>
                <w:rFonts w:hint="eastAsia" w:ascii="宋体" w:hAnsi="宋体" w:eastAsia="宋体" w:cs="宋体"/>
                <w:color w:val="000000"/>
                <w:sz w:val="20"/>
                <w:szCs w:val="20"/>
                <w:lang w:val="en-US" w:eastAsia="zh-CN" w:bidi="ar"/>
              </w:rPr>
              <w:t>拟招1个劳务供应商</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between w:val="none" w:color="auto" w:sz="0" w:space="0"/>
        </w:pBdr>
        <w:shd w:val="clear" w:fill="FFFFFF"/>
        <w:spacing w:before="75" w:beforeAutospacing="0" w:after="75" w:afterAutospacing="0" w:line="0" w:lineRule="atLeast"/>
        <w:ind w:left="0" w:firstLine="630"/>
        <w:rPr>
          <w:highlight w:val="none"/>
        </w:rPr>
      </w:pPr>
      <w:r>
        <w:rPr>
          <w:rFonts w:hint="eastAsia" w:ascii="仿宋" w:hAnsi="仿宋" w:eastAsia="仿宋" w:cs="仿宋"/>
          <w:color w:val="000000"/>
          <w:sz w:val="32"/>
          <w:szCs w:val="32"/>
          <w:highlight w:val="none"/>
          <w:shd w:val="clear" w:fill="FFFFFF"/>
        </w:rPr>
        <w:t>注：具体工程量及施工内容以发布的</w:t>
      </w:r>
      <w:r>
        <w:rPr>
          <w:rFonts w:hint="eastAsia" w:ascii="仿宋" w:hAnsi="仿宋" w:eastAsia="仿宋" w:cs="仿宋"/>
          <w:color w:val="000000"/>
          <w:sz w:val="32"/>
          <w:szCs w:val="32"/>
          <w:highlight w:val="none"/>
          <w:shd w:val="clear" w:fill="FFFFFF"/>
          <w:lang w:eastAsia="zh-CN"/>
        </w:rPr>
        <w:t>采购</w:t>
      </w:r>
      <w:r>
        <w:rPr>
          <w:rFonts w:hint="eastAsia" w:ascii="仿宋" w:hAnsi="仿宋" w:eastAsia="仿宋" w:cs="仿宋"/>
          <w:color w:val="000000"/>
          <w:sz w:val="32"/>
          <w:szCs w:val="32"/>
          <w:highlight w:val="none"/>
          <w:shd w:val="clear" w:fill="FFFFFF"/>
        </w:rPr>
        <w:t>文件为准。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eastAsia="zh-CN"/>
        </w:rPr>
        <w:t>二、报名条件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一）参加响应的劳务供应商必须是在广西路桥工程集团有限公司及其直属各单位注册登记、审查合格并完成【广西北部湾投资集团有限公司电子招采系统】（网址https://ebidding.bgigc.com/gxbt/j_form）（以下简称北投电子招采系统）注册认证的法人公司；</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（二）具有与采购工程项目相应业绩或类似项目的施工经验，信誉良好、有经济实力的，且自愿跟随我公司从事劳务施工的劳务供应商。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（三）本次采购不接受自然人及联合体响应。</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（四）所有报名供应商须通过资格预审方可参加响应。</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eastAsia="zh-CN"/>
        </w:rPr>
        <w:t>三、下列法人公司、劳务供应商和人员不能参与报名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（一）未在北投电子招采系统注册及因客观原因被公司暂停响应资格的；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 xml:space="preserve">（二）在集团公司项目提供工程劳务服务，但信誉不佳、有不良履约记录的；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（三）在集团公司项目或其他项目发生过重大质量事故或安全责任事故负有主要责任的；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（四）与集团公司发生过合同、经济、技术纠纷仲裁或诉讼的；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（五）在集团公司项目提供工程劳务服务时发生过恶意拖欠农民工工资、工程材料和设备款项的，或假借其他名义聚众闹事、围攻项目经理部的；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（六）被集团公司列入《不合格供方名单》未满五年的；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（七）本次采购数量均为暂定数量，施工过程中不接受工程量优化或者调整的，不予报名；报名通过，视为接受此项约定。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eastAsia="zh-CN"/>
        </w:rPr>
        <w:t>四、报名及采购文件的领取及要求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（一）报名时间：自公告发布之日起至2023年06月25日18时00分。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（二）报名方式：登录北投电子招采系统后在左侧菜单栏点击【项目管理】-【我要报名】进行报名。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（三）采购文件领取方式及时间：在北投电子招采系统点击左侧菜单栏【项目管理】-【我参与的项目】，在项目信息列表，点击【参与项目】，自行查看下载；2023年06月26日至开标时间。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（四）现场考察地点：请供应商根据采购文件规定时间集中或自行组织考察。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（五）开标时间：2023年07月01日上午11:00。</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（六）开标地点：北投电子招采平台（网址https://ebidding.bgigc.com/gxbt/j_form）。</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eastAsia="zh-CN"/>
        </w:rPr>
        <w:t>五、注意事项</w:t>
      </w:r>
    </w:p>
    <w:p>
      <w:pPr>
        <w:pBdr>
          <w:top w:val="none" w:color="000000" w:sz="0" w:space="0"/>
          <w:left w:val="none" w:color="000000" w:sz="0" w:space="0"/>
          <w:bottom w:val="none" w:color="000000" w:sz="0" w:space="0"/>
          <w:right w:val="none" w:color="000000" w:sz="0" w:space="0"/>
        </w:pBdr>
        <w:spacing w:before="0" w:after="0" w:line="600" w:lineRule="atLeast"/>
        <w:ind w:left="0" w:right="0" w:firstLine="634"/>
        <w:rPr>
          <w:rFonts w:hint="eastAsia" w:ascii="仿宋" w:hAnsi="仿宋" w:eastAsia="仿宋" w:cs="仿宋"/>
          <w:b w:val="0"/>
          <w:i w:val="0"/>
          <w:caps w:val="0"/>
          <w:color w:val="auto"/>
          <w:spacing w:val="0"/>
          <w:sz w:val="32"/>
          <w:szCs w:val="32"/>
          <w:highlight w:val="none"/>
          <w:lang w:val="en-US" w:eastAsia="zh-CN" w:bidi="ar-SA"/>
        </w:rPr>
      </w:pPr>
      <w:r>
        <w:rPr>
          <w:rFonts w:hint="eastAsia" w:ascii="仿宋" w:hAnsi="仿宋" w:eastAsia="仿宋" w:cs="仿宋"/>
          <w:b w:val="0"/>
          <w:i w:val="0"/>
          <w:caps w:val="0"/>
          <w:color w:val="auto"/>
          <w:spacing w:val="0"/>
          <w:sz w:val="32"/>
          <w:szCs w:val="32"/>
          <w:highlight w:val="none"/>
          <w:lang w:val="en-US" w:eastAsia="zh-CN" w:bidi="ar-SA"/>
        </w:rPr>
        <w:t>（一）如有报名意向的供应商是已在广西路桥工程集团有限公司及其直属各单位注册登记、审查合格的法人公司，登录账号为供应商的企业信用代码，供应商通过找回密码，短信登录。请登录北投电子招采系统点击左侧菜单栏【供应商管理】-【供应商信息完善】，在完善信息界面的【审核单位】处选择【广西路桥工程集团有限公司】，完善信息后提交审核进行注册。注册成功后方可进行北投电子招采系统操作。</w:t>
      </w:r>
    </w:p>
    <w:p>
      <w:pPr>
        <w:pBdr>
          <w:top w:val="none" w:color="000000" w:sz="0" w:space="0"/>
          <w:left w:val="none" w:color="000000" w:sz="0" w:space="0"/>
          <w:bottom w:val="none" w:color="000000" w:sz="0" w:space="0"/>
          <w:right w:val="none" w:color="000000" w:sz="0" w:space="0"/>
        </w:pBdr>
        <w:spacing w:before="0" w:after="0" w:line="600" w:lineRule="atLeast"/>
        <w:ind w:left="0" w:right="0" w:firstLine="634"/>
        <w:rPr>
          <w:rFonts w:hint="eastAsia" w:ascii="仿宋" w:hAnsi="仿宋" w:eastAsia="仿宋" w:cs="仿宋"/>
          <w:b w:val="0"/>
          <w:i w:val="0"/>
          <w:caps w:val="0"/>
          <w:color w:val="auto"/>
          <w:spacing w:val="0"/>
          <w:sz w:val="32"/>
          <w:szCs w:val="32"/>
          <w:highlight w:val="none"/>
          <w:lang w:val="en-US" w:eastAsia="zh-CN" w:bidi="ar-SA"/>
        </w:rPr>
      </w:pPr>
      <w:r>
        <w:rPr>
          <w:rFonts w:hint="eastAsia" w:ascii="仿宋" w:hAnsi="仿宋" w:eastAsia="仿宋" w:cs="仿宋"/>
          <w:b w:val="0"/>
          <w:i w:val="0"/>
          <w:caps w:val="0"/>
          <w:color w:val="auto"/>
          <w:spacing w:val="0"/>
          <w:sz w:val="32"/>
          <w:szCs w:val="32"/>
          <w:highlight w:val="none"/>
          <w:lang w:val="en-US" w:eastAsia="zh-CN" w:bidi="ar-SA"/>
        </w:rPr>
        <w:t xml:space="preserve">（二）北投电子招采平台的具体操作，可通过广西路桥工程集团有限公司路信云平台（网址 </w:t>
      </w:r>
      <w:r>
        <w:rPr>
          <w:rFonts w:hint="eastAsia" w:ascii="仿宋" w:hAnsi="仿宋" w:eastAsia="仿宋" w:cs="仿宋"/>
          <w:b w:val="0"/>
          <w:i w:val="0"/>
          <w:caps w:val="0"/>
          <w:color w:val="auto"/>
          <w:spacing w:val="0"/>
          <w:sz w:val="32"/>
          <w:szCs w:val="32"/>
          <w:highlight w:val="none"/>
          <w:lang w:val="en-US" w:eastAsia="zh-CN" w:bidi="ar-SA"/>
        </w:rPr>
        <w:fldChar w:fldCharType="begin"/>
      </w:r>
      <w:r>
        <w:rPr>
          <w:rFonts w:hint="eastAsia" w:ascii="仿宋" w:hAnsi="仿宋" w:eastAsia="仿宋" w:cs="仿宋"/>
          <w:b w:val="0"/>
          <w:i w:val="0"/>
          <w:caps w:val="0"/>
          <w:color w:val="auto"/>
          <w:spacing w:val="0"/>
          <w:sz w:val="32"/>
          <w:szCs w:val="32"/>
          <w:highlight w:val="none"/>
          <w:lang w:val="en-US" w:eastAsia="zh-CN" w:bidi="ar-SA"/>
        </w:rPr>
        <w:instrText xml:space="preserve"> HYPERLINK "https://www.lxyun.cn）登录招标平台进入首页【下载中心】下载。" </w:instrText>
      </w:r>
      <w:r>
        <w:rPr>
          <w:rFonts w:hint="eastAsia" w:ascii="仿宋" w:hAnsi="仿宋" w:eastAsia="仿宋" w:cs="仿宋"/>
          <w:b w:val="0"/>
          <w:i w:val="0"/>
          <w:caps w:val="0"/>
          <w:color w:val="auto"/>
          <w:spacing w:val="0"/>
          <w:sz w:val="32"/>
          <w:szCs w:val="32"/>
          <w:highlight w:val="none"/>
          <w:lang w:val="en-US" w:eastAsia="zh-CN" w:bidi="ar-SA"/>
        </w:rPr>
        <w:fldChar w:fldCharType="separate"/>
      </w:r>
      <w:r>
        <w:rPr>
          <w:rFonts w:hint="eastAsia" w:ascii="仿宋" w:hAnsi="仿宋" w:eastAsia="仿宋" w:cs="仿宋"/>
          <w:b w:val="0"/>
          <w:i w:val="0"/>
          <w:caps w:val="0"/>
          <w:color w:val="auto"/>
          <w:spacing w:val="0"/>
          <w:sz w:val="32"/>
          <w:szCs w:val="32"/>
          <w:highlight w:val="none"/>
          <w:lang w:val="en-US" w:eastAsia="zh-CN" w:bidi="ar-SA"/>
        </w:rPr>
        <w:t>https://www.gxlxyun.com）登录采购平台进入首页【下载中心】下载。</w:t>
      </w:r>
      <w:r>
        <w:rPr>
          <w:rFonts w:hint="eastAsia" w:ascii="仿宋" w:hAnsi="仿宋" w:eastAsia="仿宋" w:cs="仿宋"/>
          <w:b w:val="0"/>
          <w:i w:val="0"/>
          <w:caps w:val="0"/>
          <w:color w:val="auto"/>
          <w:spacing w:val="0"/>
          <w:sz w:val="32"/>
          <w:szCs w:val="32"/>
          <w:highlight w:val="none"/>
          <w:lang w:val="en-US" w:eastAsia="zh-CN" w:bidi="ar-SA"/>
        </w:rPr>
        <w:fldChar w:fldCharType="end"/>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eastAsia="zh-CN"/>
        </w:rPr>
        <w:t>六、联系方式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（一）北投电子采购系统客服电话：0771-5610089，后续如有任何系统操作问题或疑问，请供应商联系客服电话咨询。</w:t>
      </w:r>
    </w:p>
    <w:p>
      <w:pPr>
        <w:pStyle w:val="4"/>
        <w:keepNext w:val="0"/>
        <w:keepLines w:val="0"/>
        <w:pageBreakBefore w:val="0"/>
        <w:shd w:val="clear" w:color="auto" w:fill="FFFFFF"/>
        <w:spacing w:beforeAutospacing="0" w:after="0" w:afterAutospacing="0" w:line="600" w:lineRule="atLeast"/>
        <w:ind w:firstLine="645"/>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（二）</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潘</w:t>
      </w:r>
      <w:r>
        <w:rPr>
          <w:rFonts w:hint="eastAsia" w:ascii="仿宋" w:hAnsi="仿宋" w:eastAsia="仿宋" w:cs="仿宋"/>
          <w:color w:val="auto"/>
          <w:sz w:val="32"/>
          <w:szCs w:val="32"/>
          <w:highlight w:val="none"/>
        </w:rPr>
        <w:t>女士 0771-2</w:t>
      </w:r>
      <w:r>
        <w:rPr>
          <w:rFonts w:hint="eastAsia" w:ascii="仿宋" w:hAnsi="仿宋" w:eastAsia="仿宋" w:cs="仿宋"/>
          <w:color w:val="auto"/>
          <w:sz w:val="32"/>
          <w:szCs w:val="32"/>
          <w:highlight w:val="none"/>
          <w:lang w:val="en-US" w:eastAsia="zh-CN"/>
        </w:rPr>
        <w:t>569647</w:t>
      </w:r>
      <w:r>
        <w:rPr>
          <w:rFonts w:hint="eastAsia" w:ascii="仿宋" w:hAnsi="仿宋" w:eastAsia="仿宋" w:cs="仿宋"/>
          <w:color w:val="auto"/>
          <w:sz w:val="32"/>
          <w:szCs w:val="32"/>
          <w:highlight w:val="none"/>
        </w:rPr>
        <w:t xml:space="preserve"> </w:t>
      </w:r>
    </w:p>
    <w:p>
      <w:pPr>
        <w:pStyle w:val="4"/>
        <w:keepNext w:val="0"/>
        <w:keepLines w:val="0"/>
        <w:pageBreakBefore w:val="0"/>
        <w:shd w:val="clear" w:color="auto" w:fill="FFFFFF"/>
        <w:spacing w:beforeAutospacing="0" w:after="0" w:afterAutospacing="0" w:line="600" w:lineRule="atLeast"/>
        <w:ind w:firstLine="645"/>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三</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项目</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eastAsia="zh-CN"/>
        </w:rPr>
        <w:t>莫</w:t>
      </w:r>
      <w:r>
        <w:rPr>
          <w:rFonts w:hint="eastAsia" w:ascii="仿宋" w:hAnsi="仿宋" w:eastAsia="仿宋" w:cs="仿宋"/>
          <w:color w:val="auto"/>
          <w:sz w:val="32"/>
          <w:szCs w:val="32"/>
          <w:highlight w:val="none"/>
          <w:lang w:val="en-US" w:eastAsia="zh-CN"/>
        </w:rPr>
        <w:t>先生13257754919</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 xml:space="preserve">   如以上内容与北投电子招采系统发布的信息不一致，以北投电子招采系统发布的内容为准。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FFFFFF" w:fill="FFFFFF"/>
        <w:spacing w:before="0" w:beforeAutospacing="0" w:after="0" w:afterAutospacing="0" w:line="560" w:lineRule="atLeast"/>
        <w:ind w:left="0" w:right="0" w:firstLine="634"/>
        <w:jc w:val="left"/>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 xml:space="preserve">                </w:t>
      </w:r>
    </w:p>
    <w:p>
      <w:pPr>
        <w:pStyle w:val="4"/>
        <w:keepNext w:val="0"/>
        <w:keepLines w:val="0"/>
        <w:pageBreakBefore w:val="0"/>
        <w:shd w:val="clear" w:color="auto" w:fill="FFFFFF"/>
        <w:spacing w:beforeAutospacing="0" w:after="0" w:afterAutospacing="0" w:line="600" w:lineRule="atLeast"/>
        <w:ind w:firstLine="645"/>
        <w:rPr>
          <w:rFonts w:hint="default" w:ascii="仿宋" w:hAnsi="仿宋" w:eastAsia="仿宋" w:cs="仿宋"/>
          <w:color w:val="auto"/>
          <w:sz w:val="32"/>
          <w:szCs w:val="32"/>
          <w:highlight w:val="none"/>
          <w:lang w:val="en-US"/>
        </w:rPr>
      </w:pPr>
      <w:r>
        <w:rPr>
          <w:rFonts w:hint="eastAsia" w:ascii="仿宋" w:hAnsi="仿宋" w:eastAsia="仿宋" w:cs="仿宋"/>
          <w:b w:val="0"/>
          <w:bCs w:val="0"/>
          <w:i w:val="0"/>
          <w:iCs w:val="0"/>
          <w:caps w:val="0"/>
          <w:color w:val="000000"/>
          <w:spacing w:val="0"/>
          <w:sz w:val="32"/>
          <w:szCs w:val="32"/>
          <w:highlight w:val="none"/>
          <w:shd w:val="clear" w:color="FFFFFF" w:fill="FFFFFF"/>
          <w:lang w:val="en-US" w:eastAsia="zh-CN"/>
        </w:rPr>
        <w:t xml:space="preserve">                     </w:t>
      </w:r>
    </w:p>
    <w:p>
      <w:pPr>
        <w:rPr>
          <w:rFonts w:hint="eastAsia" w:ascii="仿宋" w:hAnsi="仿宋" w:eastAsia="仿宋" w:cs="仿宋"/>
          <w:color w:val="auto"/>
          <w:highlight w:val="none"/>
        </w:rPr>
      </w:pPr>
    </w:p>
    <w:p>
      <w:pPr>
        <w:pStyle w:val="4"/>
        <w:spacing w:beforeAutospacing="0" w:after="150" w:afterAutospacing="0" w:line="600" w:lineRule="atLeast"/>
        <w:jc w:val="center"/>
        <w:rPr>
          <w:rFonts w:hint="eastAsia" w:ascii="仿宋" w:hAnsi="仿宋" w:eastAsia="仿宋" w:cs="仿宋"/>
          <w:color w:val="auto"/>
          <w:sz w:val="32"/>
          <w:szCs w:val="32"/>
          <w:highlight w:val="none"/>
          <w:lang w:eastAsia="zh-CN" w:bidi="ar"/>
        </w:rPr>
      </w:pPr>
      <w:r>
        <w:rPr>
          <w:rFonts w:hint="eastAsia" w:ascii="仿宋" w:hAnsi="仿宋" w:eastAsia="仿宋" w:cs="仿宋"/>
          <w:color w:val="auto"/>
          <w:sz w:val="32"/>
          <w:szCs w:val="32"/>
          <w:highlight w:val="none"/>
          <w:lang w:bidi="ar"/>
        </w:rPr>
        <w:t xml:space="preserve">                       </w:t>
      </w:r>
      <w:r>
        <w:rPr>
          <w:rFonts w:hint="eastAsia" w:ascii="仿宋" w:hAnsi="仿宋" w:eastAsia="仿宋" w:cs="仿宋"/>
          <w:color w:val="auto"/>
          <w:sz w:val="32"/>
          <w:szCs w:val="32"/>
          <w:highlight w:val="none"/>
          <w:lang w:eastAsia="zh-CN" w:bidi="ar"/>
        </w:rPr>
        <w:t>广西路桥工程集团有限公司</w:t>
      </w:r>
    </w:p>
    <w:p>
      <w:r>
        <w:rPr>
          <w:rFonts w:hint="eastAsia" w:ascii="仿宋" w:hAnsi="仿宋" w:eastAsia="仿宋" w:cs="仿宋"/>
          <w:color w:val="auto"/>
          <w:sz w:val="32"/>
          <w:szCs w:val="32"/>
          <w:highlight w:val="none"/>
          <w:lang w:bidi="ar"/>
        </w:rPr>
        <w:t xml:space="preserve">                           202</w:t>
      </w:r>
      <w:r>
        <w:rPr>
          <w:rFonts w:hint="eastAsia" w:ascii="仿宋" w:hAnsi="仿宋" w:eastAsia="仿宋" w:cs="仿宋"/>
          <w:color w:val="auto"/>
          <w:sz w:val="32"/>
          <w:szCs w:val="32"/>
          <w:highlight w:val="none"/>
          <w:lang w:val="en-US" w:eastAsia="zh-CN" w:bidi="ar"/>
        </w:rPr>
        <w:t>3</w:t>
      </w:r>
      <w:r>
        <w:rPr>
          <w:rFonts w:hint="eastAsia" w:ascii="仿宋" w:hAnsi="仿宋" w:eastAsia="仿宋" w:cs="仿宋"/>
          <w:color w:val="auto"/>
          <w:sz w:val="32"/>
          <w:szCs w:val="32"/>
          <w:highlight w:val="none"/>
          <w:lang w:bidi="ar"/>
        </w:rPr>
        <w:t>年</w:t>
      </w:r>
      <w:r>
        <w:rPr>
          <w:rFonts w:hint="eastAsia" w:ascii="仿宋" w:hAnsi="仿宋" w:eastAsia="仿宋" w:cs="仿宋"/>
          <w:color w:val="auto"/>
          <w:sz w:val="32"/>
          <w:szCs w:val="32"/>
          <w:highlight w:val="none"/>
          <w:lang w:val="en-US" w:eastAsia="zh-CN" w:bidi="ar"/>
        </w:rPr>
        <w:t>06</w:t>
      </w:r>
      <w:r>
        <w:rPr>
          <w:rFonts w:hint="eastAsia" w:ascii="仿宋" w:hAnsi="仿宋" w:eastAsia="仿宋" w:cs="仿宋"/>
          <w:color w:val="auto"/>
          <w:sz w:val="32"/>
          <w:szCs w:val="32"/>
          <w:highlight w:val="none"/>
          <w:lang w:bidi="ar"/>
        </w:rPr>
        <w:t>月</w:t>
      </w:r>
      <w:r>
        <w:rPr>
          <w:rFonts w:hint="eastAsia" w:ascii="仿宋" w:hAnsi="仿宋" w:eastAsia="仿宋" w:cs="仿宋"/>
          <w:color w:val="auto"/>
          <w:sz w:val="32"/>
          <w:szCs w:val="32"/>
          <w:highlight w:val="none"/>
          <w:lang w:val="en-US" w:eastAsia="zh-CN" w:bidi="ar"/>
        </w:rPr>
        <w:t>20</w:t>
      </w:r>
      <w:r>
        <w:rPr>
          <w:rFonts w:hint="eastAsia" w:ascii="仿宋" w:hAnsi="仿宋" w:eastAsia="仿宋" w:cs="仿宋"/>
          <w:color w:val="auto"/>
          <w:sz w:val="32"/>
          <w:szCs w:val="32"/>
          <w:highlight w:val="none"/>
          <w:lang w:bidi="ar"/>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wNzc4ZjcwZWIwNGEwYzRlZThkOWM1MDZhODdmYWMifQ=="/>
  </w:docVars>
  <w:rsids>
    <w:rsidRoot w:val="30446C98"/>
    <w:rsid w:val="004A4EA1"/>
    <w:rsid w:val="004E6B14"/>
    <w:rsid w:val="01C95043"/>
    <w:rsid w:val="06CC3C3A"/>
    <w:rsid w:val="074028E1"/>
    <w:rsid w:val="0867081A"/>
    <w:rsid w:val="08F527FE"/>
    <w:rsid w:val="0B2C7CFB"/>
    <w:rsid w:val="0D5E4DF1"/>
    <w:rsid w:val="12365F19"/>
    <w:rsid w:val="138026FC"/>
    <w:rsid w:val="16566F3B"/>
    <w:rsid w:val="17CC3DB1"/>
    <w:rsid w:val="1A094B2C"/>
    <w:rsid w:val="1A7B0227"/>
    <w:rsid w:val="1AA13B73"/>
    <w:rsid w:val="1C481FD6"/>
    <w:rsid w:val="1CA76EDA"/>
    <w:rsid w:val="1E344BA9"/>
    <w:rsid w:val="20032679"/>
    <w:rsid w:val="20476E78"/>
    <w:rsid w:val="207F793C"/>
    <w:rsid w:val="20B954F5"/>
    <w:rsid w:val="20F03AD3"/>
    <w:rsid w:val="23D2207F"/>
    <w:rsid w:val="24433FCC"/>
    <w:rsid w:val="26B35CBD"/>
    <w:rsid w:val="26B466F2"/>
    <w:rsid w:val="2B7B513F"/>
    <w:rsid w:val="2DE66AA7"/>
    <w:rsid w:val="2F072C81"/>
    <w:rsid w:val="2F62767C"/>
    <w:rsid w:val="30446C98"/>
    <w:rsid w:val="309D44BF"/>
    <w:rsid w:val="30D403F2"/>
    <w:rsid w:val="316043AB"/>
    <w:rsid w:val="318D5803"/>
    <w:rsid w:val="32BD2165"/>
    <w:rsid w:val="34926AFD"/>
    <w:rsid w:val="35792C5F"/>
    <w:rsid w:val="367C3E7A"/>
    <w:rsid w:val="39DE2CED"/>
    <w:rsid w:val="3BE10404"/>
    <w:rsid w:val="3DC82108"/>
    <w:rsid w:val="3E777302"/>
    <w:rsid w:val="3E7E3804"/>
    <w:rsid w:val="3F1E3A7D"/>
    <w:rsid w:val="3F8061CE"/>
    <w:rsid w:val="4092430D"/>
    <w:rsid w:val="411708F0"/>
    <w:rsid w:val="4128567B"/>
    <w:rsid w:val="429749F6"/>
    <w:rsid w:val="42AD0224"/>
    <w:rsid w:val="42AD15F2"/>
    <w:rsid w:val="49B86370"/>
    <w:rsid w:val="4A814CF6"/>
    <w:rsid w:val="4C037B3C"/>
    <w:rsid w:val="4D8D4325"/>
    <w:rsid w:val="4ECC26B4"/>
    <w:rsid w:val="4F7E2777"/>
    <w:rsid w:val="4FC83FE8"/>
    <w:rsid w:val="50017E23"/>
    <w:rsid w:val="5086211E"/>
    <w:rsid w:val="509951D4"/>
    <w:rsid w:val="587820B9"/>
    <w:rsid w:val="58D2085F"/>
    <w:rsid w:val="590F5D6D"/>
    <w:rsid w:val="59EA5270"/>
    <w:rsid w:val="5CC97BF1"/>
    <w:rsid w:val="5D4E6D79"/>
    <w:rsid w:val="5DCA616E"/>
    <w:rsid w:val="5EB16912"/>
    <w:rsid w:val="60014707"/>
    <w:rsid w:val="6119730B"/>
    <w:rsid w:val="65B95E72"/>
    <w:rsid w:val="66AC2F97"/>
    <w:rsid w:val="6B9876FF"/>
    <w:rsid w:val="6D0E2919"/>
    <w:rsid w:val="73FC3BB2"/>
    <w:rsid w:val="775E7F63"/>
    <w:rsid w:val="77813639"/>
    <w:rsid w:val="781C0684"/>
    <w:rsid w:val="78DD6917"/>
    <w:rsid w:val="7ED828EC"/>
    <w:rsid w:val="7FA369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hint="default" w:ascii="Times New Roman" w:hAnsi="Times New Roman" w:eastAsia="宋体" w:cs="Times New Roman"/>
      <w:sz w:val="21"/>
      <w:lang w:val="en-US" w:eastAsia="zh-CN" w:bidi="ar-SA"/>
    </w:rPr>
  </w:style>
  <w:style w:type="paragraph" w:styleId="2">
    <w:name w:val="heading 1"/>
    <w:basedOn w:val="1"/>
    <w:next w:val="1"/>
    <w:qFormat/>
    <w:uiPriority w:val="0"/>
    <w:pPr>
      <w:keepNext/>
      <w:keepLines/>
      <w:spacing w:before="340" w:after="330" w:line="578" w:lineRule="auto"/>
      <w:outlineLvl w:val="0"/>
    </w:pPr>
    <w:rPr>
      <w:b/>
      <w:bCs/>
      <w:sz w:val="44"/>
      <w:szCs w:val="44"/>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jc w:val="left"/>
    </w:pPr>
    <w:rPr>
      <w:rFonts w:eastAsia="宋体"/>
      <w:sz w:val="18"/>
      <w:szCs w:val="18"/>
      <w:lang w:val="en-US" w:eastAsia="zh-CN" w:bidi="ar-SA"/>
    </w:rPr>
  </w:style>
  <w:style w:type="paragraph" w:styleId="4">
    <w:name w:val="Normal (Web)"/>
    <w:basedOn w:val="1"/>
    <w:qFormat/>
    <w:uiPriority w:val="99"/>
    <w:pPr>
      <w:widowControl/>
      <w:spacing w:before="100" w:beforeAutospacing="1" w:after="100" w:afterAutospacing="1"/>
      <w:jc w:val="left"/>
    </w:pPr>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1529</Words>
  <Characters>1707</Characters>
  <Lines>0</Lines>
  <Paragraphs>0</Paragraphs>
  <TotalTime>0</TotalTime>
  <ScaleCrop>false</ScaleCrop>
  <LinksUpToDate>false</LinksUpToDate>
  <CharactersWithSpaces>1820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2023-06-16T00:57:00Z</dcterms:created>
  <dc:creator>潘萍星</dc:creator>
  <cp:lastModifiedBy>潘萍星</cp:lastModifiedBy>
  <dcterms:modified xsi:type="dcterms:W3CDTF">2023-06-19T14:05:37Z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21185528ED8042F7A6DFDF78FE0EB885_13</vt:lpwstr>
  </property>
</Properties>
</file>