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广西路建工程集团有限公司平武1标一批五金材料采购询价公告</w:t>
      </w:r>
    </w:p>
    <w:p>
      <w:pPr>
        <w:jc w:val="cente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aps w:val="0"/>
          <w:color w:val="444444"/>
          <w:spacing w:val="0"/>
          <w:sz w:val="24"/>
          <w:szCs w:val="24"/>
          <w:shd w:val="clear" w:fill="FFFFFF"/>
        </w:rPr>
        <w:t>因工程施工需要，广西路建工程集团有限公司</w:t>
      </w:r>
      <w:r>
        <w:rPr>
          <w:rFonts w:hint="eastAsia" w:ascii="宋体" w:hAnsi="宋体" w:eastAsia="宋体" w:cs="宋体"/>
          <w:i w:val="0"/>
          <w:iCs w:val="0"/>
          <w:caps w:val="0"/>
          <w:color w:val="444444"/>
          <w:spacing w:val="0"/>
          <w:sz w:val="24"/>
          <w:szCs w:val="24"/>
          <w:shd w:val="clear" w:fill="FFFFFF"/>
          <w:lang w:val="en-US" w:eastAsia="zh-CN"/>
        </w:rPr>
        <w:t>平武1标项目决定对施工用五金材料</w:t>
      </w:r>
      <w:r>
        <w:rPr>
          <w:rFonts w:hint="eastAsia" w:ascii="宋体" w:hAnsi="宋体" w:eastAsia="宋体" w:cs="宋体"/>
          <w:i w:val="0"/>
          <w:iCs w:val="0"/>
          <w:caps w:val="0"/>
          <w:color w:val="444444"/>
          <w:spacing w:val="0"/>
          <w:sz w:val="24"/>
          <w:szCs w:val="24"/>
          <w:shd w:val="clear" w:fill="FFFFFF"/>
        </w:rPr>
        <w:t>采购进行</w:t>
      </w:r>
      <w:r>
        <w:rPr>
          <w:rFonts w:hint="eastAsia" w:ascii="宋体" w:hAnsi="宋体" w:eastAsia="宋体" w:cs="宋体"/>
          <w:i w:val="0"/>
          <w:iCs w:val="0"/>
          <w:caps w:val="0"/>
          <w:color w:val="444444"/>
          <w:spacing w:val="0"/>
          <w:sz w:val="24"/>
          <w:szCs w:val="24"/>
          <w:shd w:val="clear" w:fill="FFFFFF"/>
          <w:lang w:val="en-US" w:eastAsia="zh-CN"/>
        </w:rPr>
        <w:t>询价</w:t>
      </w:r>
      <w:r>
        <w:rPr>
          <w:rFonts w:hint="eastAsia" w:ascii="宋体" w:hAnsi="宋体" w:eastAsia="宋体" w:cs="宋体"/>
          <w:i w:val="0"/>
          <w:iCs w:val="0"/>
          <w:caps w:val="0"/>
          <w:color w:val="444444"/>
          <w:spacing w:val="0"/>
          <w:sz w:val="24"/>
          <w:szCs w:val="24"/>
          <w:shd w:val="clear" w:fill="FFFFFF"/>
        </w:rPr>
        <w:t>，</w:t>
      </w:r>
      <w:r>
        <w:rPr>
          <w:rFonts w:hint="eastAsia" w:ascii="宋体" w:hAnsi="宋体" w:eastAsia="宋体" w:cs="宋体"/>
          <w:i w:val="0"/>
          <w:iCs w:val="0"/>
          <w:caps w:val="0"/>
          <w:color w:val="444444"/>
          <w:spacing w:val="0"/>
          <w:sz w:val="24"/>
          <w:szCs w:val="24"/>
          <w:shd w:val="clear" w:fill="FFFFFF"/>
          <w:lang w:val="en-US" w:eastAsia="zh-CN"/>
        </w:rPr>
        <w:t>现将</w:t>
      </w:r>
      <w:r>
        <w:rPr>
          <w:rFonts w:hint="eastAsia" w:ascii="宋体" w:hAnsi="宋体" w:eastAsia="宋体" w:cs="宋体"/>
          <w:i w:val="0"/>
          <w:iCs w:val="0"/>
          <w:caps w:val="0"/>
          <w:color w:val="444444"/>
          <w:spacing w:val="0"/>
          <w:sz w:val="24"/>
          <w:szCs w:val="24"/>
          <w:shd w:val="clear" w:fill="FFFFFF"/>
        </w:rPr>
        <w:t>有关</w:t>
      </w:r>
      <w:r>
        <w:rPr>
          <w:rFonts w:hint="eastAsia" w:ascii="宋体" w:hAnsi="宋体" w:eastAsia="宋体" w:cs="宋体"/>
          <w:i w:val="0"/>
          <w:iCs w:val="0"/>
          <w:caps w:val="0"/>
          <w:color w:val="444444"/>
          <w:spacing w:val="0"/>
          <w:sz w:val="24"/>
          <w:szCs w:val="24"/>
          <w:shd w:val="clear" w:fill="FFFFFF"/>
          <w:lang w:val="en-US" w:eastAsia="zh-CN"/>
        </w:rPr>
        <w:t>事宜</w:t>
      </w:r>
      <w:r>
        <w:rPr>
          <w:rFonts w:hint="eastAsia" w:ascii="宋体" w:hAnsi="宋体" w:eastAsia="宋体" w:cs="宋体"/>
          <w:i w:val="0"/>
          <w:iCs w:val="0"/>
          <w:caps w:val="0"/>
          <w:color w:val="444444"/>
          <w:spacing w:val="0"/>
          <w:sz w:val="24"/>
          <w:szCs w:val="24"/>
          <w:shd w:val="clear" w:fill="FFFFFF"/>
        </w:rPr>
        <w:t>通告如下：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一、采购范围</w:t>
      </w:r>
      <w:bookmarkStart w:id="0" w:name="_GoBack"/>
      <w:bookmarkEnd w:id="0"/>
    </w:p>
    <w:tbl>
      <w:tblPr>
        <w:tblStyle w:val="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3042"/>
        <w:gridCol w:w="1087"/>
        <w:gridCol w:w="1099"/>
        <w:gridCol w:w="1797"/>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材料名称</w:t>
            </w:r>
          </w:p>
        </w:tc>
        <w:tc>
          <w:tcPr>
            <w:tcW w:w="15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规格型号</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单位</w:t>
            </w:r>
          </w:p>
        </w:tc>
        <w:tc>
          <w:tcPr>
            <w:tcW w:w="5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数量</w:t>
            </w:r>
          </w:p>
        </w:tc>
        <w:tc>
          <w:tcPr>
            <w:tcW w:w="91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送货地点</w:t>
            </w:r>
          </w:p>
        </w:tc>
        <w:tc>
          <w:tcPr>
            <w:tcW w:w="60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管道加压泵</w:t>
            </w:r>
          </w:p>
        </w:tc>
        <w:tc>
          <w:tcPr>
            <w:tcW w:w="1544"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5.5KW，12.5方流量，50米杨程，50口径</w:t>
            </w:r>
          </w:p>
        </w:tc>
        <w:tc>
          <w:tcPr>
            <w:tcW w:w="55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558" w:type="pct"/>
            <w:vAlign w:val="center"/>
          </w:tcPr>
          <w:p>
            <w:pPr>
              <w:keepNext w:val="0"/>
              <w:keepLines w:val="0"/>
              <w:widowControl/>
              <w:suppressLineNumbers w:val="0"/>
              <w:jc w:val="center"/>
              <w:textAlignment w:val="center"/>
              <w:rPr>
                <w:rFonts w:hint="default"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912"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广西桂平市江口镇平武1标项目经理部</w:t>
            </w:r>
          </w:p>
        </w:tc>
        <w:tc>
          <w:tcPr>
            <w:tcW w:w="609"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aps w:val="0"/>
                <w:color w:val="444444"/>
                <w:spacing w:val="0"/>
                <w:sz w:val="24"/>
                <w:szCs w:val="24"/>
                <w:shd w:val="clear" w:fill="FFFFFF"/>
                <w:vertAlign w:val="baseline"/>
                <w:lang w:val="en-US" w:eastAsia="zh-CN"/>
              </w:rPr>
              <w:t>开专票，不含税价比价。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草籽</w:t>
            </w:r>
          </w:p>
        </w:tc>
        <w:tc>
          <w:tcPr>
            <w:tcW w:w="1544"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20公斤/袋</w:t>
            </w:r>
          </w:p>
        </w:tc>
        <w:tc>
          <w:tcPr>
            <w:tcW w:w="55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袋</w:t>
            </w:r>
          </w:p>
        </w:tc>
        <w:tc>
          <w:tcPr>
            <w:tcW w:w="558"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912" w:type="pct"/>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p>
        </w:tc>
        <w:tc>
          <w:tcPr>
            <w:tcW w:w="609" w:type="pct"/>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复合肥</w:t>
            </w:r>
          </w:p>
        </w:tc>
        <w:tc>
          <w:tcPr>
            <w:tcW w:w="1544"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20公斤/袋</w:t>
            </w:r>
          </w:p>
        </w:tc>
        <w:tc>
          <w:tcPr>
            <w:tcW w:w="55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袋</w:t>
            </w:r>
          </w:p>
        </w:tc>
        <w:tc>
          <w:tcPr>
            <w:tcW w:w="558"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912" w:type="pct"/>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p>
        </w:tc>
        <w:tc>
          <w:tcPr>
            <w:tcW w:w="609" w:type="pct"/>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绿色无纺布</w:t>
            </w:r>
          </w:p>
        </w:tc>
        <w:tc>
          <w:tcPr>
            <w:tcW w:w="1544"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22克</w:t>
            </w:r>
          </w:p>
        </w:tc>
        <w:tc>
          <w:tcPr>
            <w:tcW w:w="55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w:t>
            </w:r>
          </w:p>
        </w:tc>
        <w:tc>
          <w:tcPr>
            <w:tcW w:w="558"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2000</w:t>
            </w:r>
          </w:p>
        </w:tc>
        <w:tc>
          <w:tcPr>
            <w:tcW w:w="912" w:type="pct"/>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p>
        </w:tc>
        <w:tc>
          <w:tcPr>
            <w:tcW w:w="609" w:type="pct"/>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锂电池</w:t>
            </w:r>
          </w:p>
        </w:tc>
        <w:tc>
          <w:tcPr>
            <w:tcW w:w="1544"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容量24AH,12V</w:t>
            </w:r>
          </w:p>
        </w:tc>
        <w:tc>
          <w:tcPr>
            <w:tcW w:w="55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组</w:t>
            </w:r>
          </w:p>
        </w:tc>
        <w:tc>
          <w:tcPr>
            <w:tcW w:w="558"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912" w:type="pct"/>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p>
        </w:tc>
        <w:tc>
          <w:tcPr>
            <w:tcW w:w="609" w:type="pct"/>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普通干电池</w:t>
            </w:r>
          </w:p>
        </w:tc>
        <w:tc>
          <w:tcPr>
            <w:tcW w:w="1544"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15*6.5*9.5cm</w:t>
            </w:r>
          </w:p>
        </w:tc>
        <w:tc>
          <w:tcPr>
            <w:tcW w:w="552"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组</w:t>
            </w:r>
          </w:p>
        </w:tc>
        <w:tc>
          <w:tcPr>
            <w:tcW w:w="558" w:type="pct"/>
            <w:vAlign w:val="center"/>
          </w:tcPr>
          <w:p>
            <w:pPr>
              <w:keepNext w:val="0"/>
              <w:keepLines w:val="0"/>
              <w:widowControl/>
              <w:suppressLineNumbers w:val="0"/>
              <w:jc w:val="center"/>
              <w:textAlignment w:val="center"/>
              <w:rPr>
                <w:rFonts w:hint="eastAsia" w:ascii="宋体" w:hAnsi="宋体" w:eastAsia="宋体" w:cs="宋体"/>
                <w:i w:val="0"/>
                <w:iCs w:val="0"/>
                <w:caps w:val="0"/>
                <w:color w:val="444444"/>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912" w:type="pct"/>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p>
        </w:tc>
        <w:tc>
          <w:tcPr>
            <w:tcW w:w="609" w:type="pct"/>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质量标准：供方提供的货物必须符合平武1标图纸的质量技术要求及各性能指标必须符合国家标准及其引用标准和规范性引用文件。生产设备、生产工艺满足工程项目的设计要求，及项目业主、监理对工程施工用双壁波纹管材料生产质量的相关规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报名及询价文件的获取方式</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（一）报名方式：先通过广西北部湾投资集团有限公司电子招采平台。（https://ebidding.bgigc.com/ ），成功注册为平台供应商，再登录平台进行网上报名（采购管理→公告公示→找到对应的项目公告进行报名）。</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（二）报名时间：自公告发布之日起至2023年6月7日12时00分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（三）询价文件获取方式及时间：“采购管理”→“我参与的项目”→“参与项目”→“询价文件”查看询价文件。</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四、选取时间：2023年6月7日12时10分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五、报名需上传材料：营业执照、开户许可证或基本存款账户信息、税务事项通知书或相关文件纳税文件，上传材料需要PDF版本。</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六、选取地点：广西北部湾投资集团有限公司电子招采平台。</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七、联系方式：杨 13627761296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广西路建工程集团有限公司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b w:val="0"/>
          <w:bCs w:val="0"/>
          <w:sz w:val="24"/>
          <w:szCs w:val="24"/>
          <w:lang w:val="en-US" w:eastAsia="zh-CN"/>
        </w:rPr>
        <w:t xml:space="preserve">               广西平南至武宣高速公路№1项目经理部</w:t>
      </w:r>
      <w:r>
        <w:rPr>
          <w:rFonts w:hint="eastAsia" w:ascii="宋体" w:hAnsi="宋体" w:eastAsia="宋体" w:cs="宋体"/>
          <w:i w:val="0"/>
          <w:iCs w:val="0"/>
          <w:caps w:val="0"/>
          <w:color w:val="444444"/>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aps w:val="0"/>
          <w:color w:val="444444"/>
          <w:spacing w:val="0"/>
          <w:sz w:val="24"/>
          <w:szCs w:val="24"/>
          <w:shd w:val="clear" w:fill="FFFFFF"/>
          <w:lang w:val="en-US" w:eastAsia="zh-CN"/>
        </w:rPr>
        <w:t xml:space="preserve">              2023年6月27日</w:t>
      </w:r>
    </w:p>
    <w:sectPr>
      <w:pgSz w:w="11906" w:h="16838"/>
      <w:pgMar w:top="85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FF36E"/>
    <w:multiLevelType w:val="singleLevel"/>
    <w:tmpl w:val="E5FFF3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mViZDgxZGNhNTE2NDkxZWM1YmRiYTlhNzYwZjUifQ=="/>
  </w:docVars>
  <w:rsids>
    <w:rsidRoot w:val="00000000"/>
    <w:rsid w:val="05250400"/>
    <w:rsid w:val="13CC6DA3"/>
    <w:rsid w:val="21E36600"/>
    <w:rsid w:val="24545B99"/>
    <w:rsid w:val="294A68B7"/>
    <w:rsid w:val="41202C33"/>
    <w:rsid w:val="41A72026"/>
    <w:rsid w:val="48785F2C"/>
    <w:rsid w:val="538F6AF5"/>
    <w:rsid w:val="53B22C19"/>
    <w:rsid w:val="59C40E33"/>
    <w:rsid w:val="665F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ind w:firstLine="200" w:firstLineChars="200"/>
    </w:pPr>
    <w:rPr>
      <w:rFonts w:eastAsia="仿宋_GB2312"/>
      <w:sz w:val="20"/>
      <w:szCs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629</Words>
  <Characters>714</Characters>
  <Lines>0</Lines>
  <Paragraphs>0</Paragraphs>
  <TotalTime>4</TotalTime>
  <ScaleCrop>false</ScaleCrop>
  <LinksUpToDate>false</LinksUpToDate>
  <CharactersWithSpaces>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2023-05-23T03:29:00Z</dcterms:created>
  <dc:creator>zhangyongxiang</dc:creator>
  <cp:lastModifiedBy>文</cp:lastModifiedBy>
  <dcterms:modified xsi:type="dcterms:W3CDTF">2023-06-27T04:44:57Z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9C5C0FD7DDD147FC83096D26D9CE72A8</vt:lpwstr>
  </property>
</Properties>
</file>