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隶书" w:eastAsia="隶书"/>
          <w:sz w:val="30"/>
          <w:szCs w:val="30"/>
          <w:lang w:val="en-US" w:eastAsia="zh-CN"/>
        </w:rPr>
      </w:pPr>
      <w:r>
        <w:rPr>
          <w:rFonts w:hint="eastAsia" w:ascii="隶书" w:eastAsia="隶书"/>
          <w:sz w:val="30"/>
          <w:szCs w:val="30"/>
        </w:rPr>
        <w:t xml:space="preserve"> 广西路建集团</w:t>
      </w:r>
      <w:r>
        <w:rPr>
          <w:rFonts w:hint="eastAsia" w:ascii="隶书" w:eastAsia="隶书"/>
          <w:sz w:val="30"/>
          <w:szCs w:val="30"/>
          <w:lang w:val="en-US" w:eastAsia="zh-CN"/>
        </w:rPr>
        <w:t>建筑工程</w:t>
      </w:r>
      <w:r>
        <w:rPr>
          <w:rFonts w:hint="eastAsia" w:ascii="隶书" w:eastAsia="隶书"/>
          <w:sz w:val="30"/>
          <w:szCs w:val="30"/>
        </w:rPr>
        <w:t>有限公司</w:t>
      </w:r>
      <w:r>
        <w:rPr>
          <w:rFonts w:hint="eastAsia" w:ascii="隶书" w:eastAsia="隶书"/>
          <w:sz w:val="30"/>
          <w:szCs w:val="30"/>
          <w:lang w:val="en-US" w:eastAsia="zh-CN"/>
        </w:rPr>
        <w:t>南湛高速1标房建项目</w:t>
      </w:r>
    </w:p>
    <w:p>
      <w:pPr>
        <w:spacing w:line="520" w:lineRule="exact"/>
        <w:jc w:val="center"/>
        <w:rPr>
          <w:rFonts w:hint="default" w:ascii="华文楷体" w:hAnsi="华文楷体" w:eastAsia="华文楷体"/>
          <w:b/>
          <w:bCs/>
          <w:sz w:val="36"/>
          <w:szCs w:val="36"/>
          <w:lang w:val="en-US" w:eastAsia="zh-CN"/>
        </w:rPr>
      </w:pPr>
      <w:r>
        <w:rPr>
          <w:rFonts w:hint="eastAsia" w:ascii="隶书" w:eastAsia="隶书"/>
          <w:sz w:val="30"/>
          <w:szCs w:val="30"/>
          <w:lang w:val="en-US" w:eastAsia="zh-CN"/>
        </w:rPr>
        <w:t>卫生间门</w:t>
      </w:r>
      <w:r>
        <w:rPr>
          <w:rFonts w:hint="eastAsia" w:ascii="隶书" w:eastAsia="隶书"/>
          <w:sz w:val="30"/>
          <w:szCs w:val="30"/>
        </w:rPr>
        <w:t>采购询价</w:t>
      </w:r>
      <w:r>
        <w:rPr>
          <w:rFonts w:hint="eastAsia" w:ascii="隶书" w:eastAsia="隶书"/>
          <w:sz w:val="30"/>
          <w:szCs w:val="30"/>
          <w:lang w:val="en-US" w:eastAsia="zh-CN"/>
        </w:rPr>
        <w:t>文件</w:t>
      </w:r>
    </w:p>
    <w:p>
      <w:pPr>
        <w:spacing w:line="520" w:lineRule="exact"/>
        <w:rPr>
          <w:rFonts w:hint="eastAsia" w:ascii="华文楷体" w:hAnsi="华文楷体" w:eastAsia="华文楷体"/>
          <w:color w:val="000000"/>
          <w:sz w:val="28"/>
          <w:szCs w:val="28"/>
          <w:u w:val="single"/>
          <w:lang w:val="en-US" w:eastAsia="zh-CN"/>
        </w:rPr>
      </w:pPr>
    </w:p>
    <w:p>
      <w:pPr>
        <w:numPr>
          <w:ilvl w:val="0"/>
          <w:numId w:val="1"/>
        </w:numPr>
        <w:spacing w:line="520" w:lineRule="exact"/>
        <w:rPr>
          <w:rFonts w:hint="eastAsia" w:ascii="华文楷体" w:hAnsi="华文楷体" w:eastAsia="华文楷体"/>
          <w:b/>
          <w:bCs/>
          <w:sz w:val="28"/>
          <w:szCs w:val="28"/>
          <w:lang w:val="en-US" w:eastAsia="zh-CN"/>
        </w:rPr>
      </w:pPr>
      <w:r>
        <w:rPr>
          <w:rFonts w:hint="eastAsia" w:ascii="华文楷体" w:hAnsi="华文楷体" w:eastAsia="华文楷体"/>
          <w:b/>
          <w:bCs/>
          <w:sz w:val="28"/>
          <w:szCs w:val="28"/>
          <w:lang w:val="en-US" w:eastAsia="zh-CN"/>
        </w:rPr>
        <w:t>供应商资质要求：</w:t>
      </w:r>
    </w:p>
    <w:p>
      <w:pPr>
        <w:numPr>
          <w:ilvl w:val="0"/>
          <w:numId w:val="0"/>
        </w:numPr>
        <w:spacing w:line="520" w:lineRule="exact"/>
        <w:ind w:firstLine="560" w:firstLineChars="200"/>
        <w:rPr>
          <w:rFonts w:hint="eastAsia" w:ascii="华文楷体" w:hAnsi="华文楷体" w:eastAsia="华文楷体"/>
          <w:b w:val="0"/>
          <w:bCs w:val="0"/>
          <w:sz w:val="28"/>
          <w:szCs w:val="28"/>
          <w:lang w:val="en-US" w:eastAsia="zh-CN"/>
        </w:rPr>
      </w:pPr>
      <w:r>
        <w:rPr>
          <w:rFonts w:hint="eastAsia" w:ascii="华文楷体" w:hAnsi="华文楷体" w:eastAsia="华文楷体"/>
          <w:b w:val="0"/>
          <w:bCs w:val="0"/>
          <w:sz w:val="28"/>
          <w:szCs w:val="28"/>
          <w:lang w:val="en-US" w:eastAsia="zh-CN"/>
        </w:rPr>
        <w:t>（一）资质要求：竞选人须在中华人民共和国境内注册,具有独立法人资格,具备完全民事行为能力、能够独立承担民事责任的法人，为祖昌门业品牌产品的代理商或经销商。</w:t>
      </w:r>
    </w:p>
    <w:p>
      <w:pPr>
        <w:spacing w:line="520" w:lineRule="exact"/>
        <w:ind w:firstLine="560" w:firstLineChars="200"/>
        <w:rPr>
          <w:rFonts w:hint="eastAsia" w:ascii="华文楷体" w:hAnsi="华文楷体" w:eastAsia="华文楷体"/>
          <w:b w:val="0"/>
          <w:bCs w:val="0"/>
          <w:sz w:val="28"/>
          <w:szCs w:val="28"/>
          <w:lang w:val="en-US" w:eastAsia="zh-CN"/>
        </w:rPr>
      </w:pPr>
      <w:r>
        <w:rPr>
          <w:rFonts w:hint="eastAsia" w:ascii="华文楷体" w:hAnsi="华文楷体" w:eastAsia="华文楷体"/>
          <w:b w:val="0"/>
          <w:bCs w:val="0"/>
          <w:sz w:val="28"/>
          <w:szCs w:val="28"/>
          <w:lang w:val="en-US" w:eastAsia="zh-CN"/>
        </w:rPr>
        <w:t>（二）财务要求：竞选人具有较强经济实力和良好的财务状况。</w:t>
      </w:r>
    </w:p>
    <w:p>
      <w:pPr>
        <w:spacing w:line="520" w:lineRule="exact"/>
        <w:ind w:firstLine="560" w:firstLineChars="200"/>
        <w:rPr>
          <w:rFonts w:hint="eastAsia" w:ascii="华文楷体" w:hAnsi="华文楷体" w:eastAsia="华文楷体"/>
          <w:b w:val="0"/>
          <w:bCs w:val="0"/>
          <w:sz w:val="28"/>
          <w:szCs w:val="28"/>
          <w:lang w:val="en-US" w:eastAsia="zh-CN"/>
        </w:rPr>
      </w:pPr>
      <w:r>
        <w:rPr>
          <w:rFonts w:hint="eastAsia" w:ascii="华文楷体" w:hAnsi="华文楷体" w:eastAsia="华文楷体"/>
          <w:b w:val="0"/>
          <w:bCs w:val="0"/>
          <w:sz w:val="28"/>
          <w:szCs w:val="28"/>
          <w:lang w:val="en-US" w:eastAsia="zh-CN"/>
        </w:rPr>
        <w:t>（三）业绩要求：近三年（2019年12月1日-2023年1月31日）具有房建工程防火门供应的经验和业绩（中标通知书、合同、结算资料等）；与知名地产开发商或建筑施工企业有过良好的合作；具有一流的供应能力、技术能力、供应链整合能力。</w:t>
      </w:r>
    </w:p>
    <w:p>
      <w:pPr>
        <w:spacing w:line="520" w:lineRule="exact"/>
        <w:ind w:firstLine="560" w:firstLineChars="200"/>
        <w:rPr>
          <w:rFonts w:hint="eastAsia" w:ascii="华文楷体" w:hAnsi="华文楷体" w:eastAsia="华文楷体"/>
          <w:b w:val="0"/>
          <w:bCs w:val="0"/>
          <w:sz w:val="28"/>
          <w:szCs w:val="28"/>
          <w:lang w:val="en-US" w:eastAsia="zh-CN"/>
        </w:rPr>
      </w:pPr>
      <w:r>
        <w:rPr>
          <w:rFonts w:hint="eastAsia" w:ascii="华文楷体" w:hAnsi="华文楷体" w:eastAsia="华文楷体"/>
          <w:b w:val="0"/>
          <w:bCs w:val="0"/>
          <w:sz w:val="28"/>
          <w:szCs w:val="28"/>
          <w:lang w:val="en-US" w:eastAsia="zh-CN"/>
        </w:rPr>
        <w:t>（四）信誉要求：竞选人应有较好的商业信誉。工作信誉不佳、有过不良履约记录的单位不能参与报名。根据最高人民法院等9部门《关于在招投标活动中对失信被执行人实施联合惩戒的通知》（法（2016）285号）规定，对在“信用中国”网站（www.creditchina.gov.cn）中被列入失信被执行人或重大税收违法案件当事人名单，或政府采购严重违法失信名单的供应商，不得参与;</w:t>
      </w:r>
    </w:p>
    <w:p>
      <w:pPr>
        <w:spacing w:line="520" w:lineRule="exact"/>
        <w:ind w:firstLine="560" w:firstLineChars="200"/>
        <w:rPr>
          <w:rFonts w:hint="default" w:ascii="华文楷体" w:hAnsi="华文楷体" w:eastAsia="华文楷体"/>
          <w:b w:val="0"/>
          <w:bCs w:val="0"/>
          <w:sz w:val="28"/>
          <w:szCs w:val="28"/>
          <w:lang w:val="en-US" w:eastAsia="zh-CN"/>
        </w:rPr>
      </w:pPr>
      <w:r>
        <w:rPr>
          <w:rFonts w:hint="eastAsia" w:ascii="华文楷体" w:hAnsi="华文楷体" w:eastAsia="华文楷体"/>
          <w:b w:val="0"/>
          <w:bCs w:val="0"/>
          <w:sz w:val="28"/>
          <w:szCs w:val="28"/>
          <w:lang w:val="en-US" w:eastAsia="zh-CN"/>
        </w:rPr>
        <w:t>（五）选取不接受任何形式的联合体竞选，与选取人存在利害关系可能影响选取公正性的法人、其他组织或者个人，不得参加竞选。若单位负责人为同一人、或者存在控股、管理关系的不同单位，不得参加同一项目选取，否则按否决其竞选处理。</w:t>
      </w:r>
    </w:p>
    <w:p>
      <w:pPr>
        <w:spacing w:line="520" w:lineRule="exact"/>
        <w:rPr>
          <w:rFonts w:hint="eastAsia" w:ascii="华文楷体" w:hAnsi="华文楷体" w:eastAsia="华文楷体"/>
          <w:sz w:val="28"/>
          <w:szCs w:val="28"/>
        </w:rPr>
      </w:pPr>
      <w:r>
        <w:rPr>
          <w:rFonts w:hint="eastAsia" w:ascii="华文楷体" w:hAnsi="华文楷体" w:eastAsia="华文楷体"/>
          <w:b/>
          <w:bCs/>
          <w:sz w:val="28"/>
          <w:szCs w:val="28"/>
          <w:lang w:val="en-US" w:eastAsia="zh-CN"/>
        </w:rPr>
        <w:t>二、采购范围及相关要求：</w:t>
      </w:r>
      <w:r>
        <w:rPr>
          <w:rFonts w:hint="eastAsia" w:ascii="华文楷体" w:hAnsi="华文楷体" w:eastAsia="华文楷体"/>
          <w:sz w:val="28"/>
          <w:szCs w:val="28"/>
        </w:rPr>
        <w:t xml:space="preserve"> </w:t>
      </w:r>
    </w:p>
    <w:p>
      <w:pPr>
        <w:widowControl/>
        <w:spacing w:line="520" w:lineRule="exact"/>
        <w:jc w:val="left"/>
        <w:rPr>
          <w:rFonts w:hint="eastAsia" w:ascii="华文楷体" w:hAnsi="华文楷体" w:eastAsia="华文楷体" w:cs="宋体"/>
          <w:kern w:val="0"/>
          <w:sz w:val="28"/>
          <w:szCs w:val="28"/>
          <w:lang w:eastAsia="zh-CN"/>
        </w:rPr>
      </w:pPr>
      <w:r>
        <w:rPr>
          <w:rFonts w:hint="eastAsia" w:ascii="华文楷体" w:hAnsi="华文楷体" w:eastAsia="华文楷体" w:cs="宋体"/>
          <w:kern w:val="0"/>
          <w:sz w:val="28"/>
          <w:szCs w:val="28"/>
          <w:lang w:eastAsia="zh-CN"/>
        </w:rPr>
        <w:t>（</w:t>
      </w:r>
      <w:r>
        <w:rPr>
          <w:rFonts w:hint="eastAsia" w:ascii="华文楷体" w:hAnsi="华文楷体" w:eastAsia="华文楷体" w:cs="宋体"/>
          <w:kern w:val="0"/>
          <w:sz w:val="28"/>
          <w:szCs w:val="28"/>
          <w:lang w:val="en-US" w:eastAsia="zh-CN"/>
        </w:rPr>
        <w:t>一</w:t>
      </w:r>
      <w:r>
        <w:rPr>
          <w:rFonts w:hint="eastAsia" w:ascii="华文楷体" w:hAnsi="华文楷体" w:eastAsia="华文楷体" w:cs="宋体"/>
          <w:kern w:val="0"/>
          <w:sz w:val="28"/>
          <w:szCs w:val="28"/>
          <w:lang w:eastAsia="zh-CN"/>
        </w:rPr>
        <w:t>）</w:t>
      </w:r>
      <w:r>
        <w:rPr>
          <w:rFonts w:hint="eastAsia" w:ascii="华文楷体" w:hAnsi="华文楷体" w:eastAsia="华文楷体" w:cs="宋体"/>
          <w:kern w:val="0"/>
          <w:sz w:val="28"/>
          <w:szCs w:val="28"/>
        </w:rPr>
        <w:t>采购内容</w:t>
      </w:r>
      <w:r>
        <w:rPr>
          <w:rFonts w:hint="eastAsia" w:ascii="华文楷体" w:hAnsi="华文楷体" w:eastAsia="华文楷体" w:cs="宋体"/>
          <w:kern w:val="0"/>
          <w:sz w:val="28"/>
          <w:szCs w:val="28"/>
          <w:lang w:eastAsia="zh-CN"/>
        </w:rPr>
        <w:t>：</w:t>
      </w:r>
    </w:p>
    <w:tbl>
      <w:tblPr>
        <w:tblStyle w:val="8"/>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576"/>
        <w:gridCol w:w="1938"/>
        <w:gridCol w:w="1196"/>
        <w:gridCol w:w="181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1576"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材料名称</w:t>
            </w:r>
          </w:p>
        </w:tc>
        <w:tc>
          <w:tcPr>
            <w:tcW w:w="1938"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规格型号</w:t>
            </w:r>
          </w:p>
        </w:tc>
        <w:tc>
          <w:tcPr>
            <w:tcW w:w="1196"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数量（樘）</w:t>
            </w:r>
          </w:p>
        </w:tc>
        <w:tc>
          <w:tcPr>
            <w:tcW w:w="1810"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使用部位</w:t>
            </w:r>
          </w:p>
        </w:tc>
        <w:tc>
          <w:tcPr>
            <w:tcW w:w="2302" w:type="dxa"/>
            <w:vAlign w:val="center"/>
          </w:tcPr>
          <w:p>
            <w:pPr>
              <w:pStyle w:val="2"/>
              <w:ind w:left="0" w:leftChars="0" w:firstLine="0" w:firstLineChars="0"/>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0"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1</w:t>
            </w:r>
          </w:p>
        </w:tc>
        <w:tc>
          <w:tcPr>
            <w:tcW w:w="1576"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成品铝合金卫生间门</w:t>
            </w:r>
          </w:p>
        </w:tc>
        <w:tc>
          <w:tcPr>
            <w:tcW w:w="1938" w:type="dxa"/>
            <w:vAlign w:val="center"/>
          </w:tcPr>
          <w:p>
            <w:pPr>
              <w:pStyle w:val="2"/>
              <w:ind w:left="0" w:leftChars="0" w:firstLine="0" w:firstLineChars="0"/>
              <w:jc w:val="center"/>
              <w:rPr>
                <w:rFonts w:hint="default"/>
                <w:sz w:val="18"/>
                <w:szCs w:val="18"/>
                <w:vertAlign w:val="baseline"/>
                <w:lang w:val="en-US" w:eastAsia="zh-CN"/>
              </w:rPr>
            </w:pPr>
            <w:r>
              <w:rPr>
                <w:rFonts w:hint="default"/>
                <w:sz w:val="18"/>
                <w:szCs w:val="18"/>
                <w:vertAlign w:val="baseline"/>
                <w:lang w:val="en-US" w:eastAsia="zh-CN"/>
              </w:rPr>
              <w:t>铝材厚度不低于1.2mm，玻璃厚度不低于5mm,具体尺寸以厂家实地测量为准</w:t>
            </w:r>
          </w:p>
        </w:tc>
        <w:tc>
          <w:tcPr>
            <w:tcW w:w="1196" w:type="dxa"/>
            <w:vAlign w:val="center"/>
          </w:tcPr>
          <w:p>
            <w:pPr>
              <w:pStyle w:val="2"/>
              <w:ind w:left="0" w:leftChars="0" w:firstLine="0" w:firstLineChars="0"/>
              <w:jc w:val="center"/>
              <w:rPr>
                <w:rFonts w:hint="default"/>
                <w:vertAlign w:val="baseline"/>
                <w:lang w:val="en-US" w:eastAsia="zh-CN"/>
              </w:rPr>
            </w:pPr>
            <w:r>
              <w:rPr>
                <w:rFonts w:hint="eastAsia"/>
                <w:vertAlign w:val="baseline"/>
                <w:lang w:val="en-US" w:eastAsia="zh-CN"/>
              </w:rPr>
              <w:t>304</w:t>
            </w:r>
          </w:p>
        </w:tc>
        <w:tc>
          <w:tcPr>
            <w:tcW w:w="1810" w:type="dxa"/>
            <w:vAlign w:val="center"/>
          </w:tcPr>
          <w:p>
            <w:pPr>
              <w:pStyle w:val="2"/>
              <w:ind w:left="0" w:leftChars="0" w:firstLine="0" w:firstLineChars="0"/>
              <w:jc w:val="both"/>
              <w:rPr>
                <w:rFonts w:hint="default"/>
                <w:vertAlign w:val="baseline"/>
                <w:lang w:val="en-US" w:eastAsia="zh-CN"/>
              </w:rPr>
            </w:pPr>
            <w:r>
              <w:rPr>
                <w:rFonts w:hint="eastAsia"/>
                <w:sz w:val="21"/>
                <w:szCs w:val="21"/>
                <w:vertAlign w:val="baseline"/>
                <w:lang w:val="en-US" w:eastAsia="zh-CN"/>
              </w:rPr>
              <w:t>全线站点综合楼、职工公寓楼、监控楼等卫生间门</w:t>
            </w:r>
          </w:p>
        </w:tc>
        <w:tc>
          <w:tcPr>
            <w:tcW w:w="2302" w:type="dxa"/>
            <w:vAlign w:val="center"/>
          </w:tcPr>
          <w:p>
            <w:pPr>
              <w:pStyle w:val="2"/>
              <w:ind w:left="0" w:leftChars="0" w:firstLine="0" w:firstLineChars="0"/>
              <w:jc w:val="both"/>
              <w:rPr>
                <w:rFonts w:hint="default"/>
                <w:vertAlign w:val="baseline"/>
                <w:lang w:val="en-US" w:eastAsia="zh-CN"/>
              </w:rPr>
            </w:pPr>
            <w:r>
              <w:rPr>
                <w:rFonts w:hint="eastAsia"/>
                <w:sz w:val="21"/>
                <w:szCs w:val="21"/>
                <w:vertAlign w:val="baseline"/>
                <w:lang w:val="en-US" w:eastAsia="zh-CN"/>
              </w:rPr>
              <w:t>品牌：祖昌门业。具体质量技术要求详见附件图纸。</w:t>
            </w:r>
          </w:p>
        </w:tc>
      </w:tr>
    </w:tbl>
    <w:p>
      <w:pPr>
        <w:pStyle w:val="2"/>
        <w:rPr>
          <w:rFonts w:hint="eastAsia"/>
          <w:lang w:eastAsia="zh-CN"/>
        </w:rPr>
      </w:pPr>
    </w:p>
    <w:p>
      <w:pPr>
        <w:widowControl/>
        <w:numPr>
          <w:ilvl w:val="0"/>
          <w:numId w:val="2"/>
        </w:numPr>
        <w:spacing w:line="520" w:lineRule="exact"/>
        <w:jc w:val="left"/>
        <w:rPr>
          <w:rFonts w:hint="eastAsia" w:ascii="华文楷体" w:hAnsi="华文楷体" w:eastAsia="华文楷体" w:cs="宋体"/>
          <w:kern w:val="0"/>
          <w:sz w:val="28"/>
          <w:szCs w:val="28"/>
          <w:lang w:eastAsia="zh-CN"/>
        </w:rPr>
      </w:pPr>
      <w:r>
        <w:rPr>
          <w:rFonts w:hint="eastAsia" w:ascii="华文楷体" w:hAnsi="华文楷体" w:eastAsia="华文楷体" w:cs="宋体"/>
          <w:kern w:val="0"/>
          <w:sz w:val="28"/>
          <w:szCs w:val="28"/>
        </w:rPr>
        <w:t>质量要求：</w:t>
      </w:r>
      <w:r>
        <w:rPr>
          <w:rFonts w:hint="eastAsia" w:ascii="华文楷体" w:hAnsi="华文楷体" w:eastAsia="华文楷体" w:cs="宋体"/>
          <w:kern w:val="0"/>
          <w:sz w:val="28"/>
          <w:szCs w:val="28"/>
          <w:lang w:eastAsia="zh-CN"/>
        </w:rPr>
        <w:t xml:space="preserve"> </w:t>
      </w:r>
    </w:p>
    <w:p>
      <w:pPr>
        <w:widowControl/>
        <w:numPr>
          <w:ilvl w:val="0"/>
          <w:numId w:val="0"/>
        </w:numPr>
        <w:spacing w:line="520" w:lineRule="exact"/>
        <w:ind w:firstLine="560" w:firstLineChars="200"/>
        <w:jc w:val="left"/>
        <w:rPr>
          <w:rFonts w:hint="eastAsia" w:ascii="华文楷体" w:hAnsi="华文楷体" w:eastAsia="华文楷体" w:cs="宋体"/>
          <w:kern w:val="0"/>
          <w:sz w:val="28"/>
          <w:szCs w:val="28"/>
          <w:lang w:eastAsia="zh-CN"/>
        </w:rPr>
      </w:pPr>
      <w:r>
        <w:rPr>
          <w:rFonts w:hint="eastAsia" w:ascii="华文楷体" w:hAnsi="华文楷体" w:eastAsia="华文楷体" w:cs="宋体"/>
          <w:kern w:val="0"/>
          <w:sz w:val="28"/>
          <w:szCs w:val="28"/>
          <w:lang w:eastAsia="zh-CN"/>
        </w:rPr>
        <w:t>提供的货物必须</w:t>
      </w:r>
      <w:r>
        <w:rPr>
          <w:rFonts w:hint="eastAsia" w:ascii="华文楷体" w:hAnsi="华文楷体" w:eastAsia="华文楷体" w:cs="宋体"/>
          <w:kern w:val="0"/>
          <w:sz w:val="28"/>
          <w:szCs w:val="28"/>
          <w:lang w:val="en-US" w:eastAsia="zh-CN"/>
        </w:rPr>
        <w:t>符合广西路建集团建筑工程有限公司南湛高速1标房建工程项目工程设计图纸要求，货物的生产设备、生产工艺满足甲方工程项目的设计要求，及甲方工程项目业主、监理对货物生产质量的相关规定。如甲方工程项目业主、监理方对货物的质量及其生产设备与工艺、检验有其它明确规定和要求，从其规定和要求。</w:t>
      </w:r>
      <w:r>
        <w:rPr>
          <w:rFonts w:hint="eastAsia" w:ascii="华文楷体" w:hAnsi="华文楷体" w:eastAsia="华文楷体" w:cs="宋体"/>
          <w:kern w:val="0"/>
          <w:sz w:val="28"/>
          <w:szCs w:val="28"/>
          <w:lang w:eastAsia="zh-CN"/>
        </w:rPr>
        <w:t xml:space="preserve">                                                                                                                                                                                </w:t>
      </w:r>
    </w:p>
    <w:p>
      <w:pPr>
        <w:widowControl/>
        <w:numPr>
          <w:ilvl w:val="0"/>
          <w:numId w:val="0"/>
        </w:numPr>
        <w:spacing w:line="520" w:lineRule="exact"/>
        <w:jc w:val="left"/>
        <w:rPr>
          <w:rFonts w:hint="eastAsia"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（三）验收标准：质量检验按本文件“二、（二） 质量要求”的相关要求与规定抽样送检，最终的质量检验应由甲方或监理代表指定的单位进行，乙方对此予以认可。如果任何被检验或测试的货物不能满足技术标准的要求，甲方可以拒绝接受该货物，乙方应更换被拒绝的货物，在甲方提出质量异议之日起3日内按甲方要求承担货物的更换或退货义务。</w:t>
      </w:r>
    </w:p>
    <w:p>
      <w:pPr>
        <w:widowControl/>
        <w:numPr>
          <w:ilvl w:val="0"/>
          <w:numId w:val="0"/>
        </w:numPr>
        <w:spacing w:line="520" w:lineRule="exact"/>
        <w:jc w:val="lef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（四）</w:t>
      </w:r>
      <w:r>
        <w:rPr>
          <w:rFonts w:ascii="华文楷体" w:hAnsi="华文楷体" w:eastAsia="华文楷体" w:cs="宋体"/>
          <w:kern w:val="0"/>
          <w:sz w:val="28"/>
          <w:szCs w:val="28"/>
        </w:rPr>
        <w:t>交货地点</w:t>
      </w:r>
      <w:r>
        <w:rPr>
          <w:rFonts w:hint="eastAsia" w:ascii="华文楷体" w:hAnsi="华文楷体" w:eastAsia="华文楷体" w:cs="宋体"/>
          <w:kern w:val="0"/>
          <w:sz w:val="28"/>
          <w:szCs w:val="28"/>
        </w:rPr>
        <w:t>:</w:t>
      </w:r>
      <w:r>
        <w:rPr>
          <w:rFonts w:hint="eastAsia" w:ascii="华文楷体" w:hAnsi="华文楷体" w:eastAsia="华文楷体" w:cs="宋体"/>
          <w:kern w:val="0"/>
          <w:sz w:val="28"/>
          <w:szCs w:val="28"/>
          <w:lang w:val="en-US" w:eastAsia="zh-CN"/>
        </w:rPr>
        <w:t>南湛高速1标房建项目指定施工现场。</w:t>
      </w:r>
    </w:p>
    <w:p>
      <w:pPr>
        <w:widowControl/>
        <w:numPr>
          <w:ilvl w:val="0"/>
          <w:numId w:val="0"/>
        </w:numPr>
        <w:spacing w:line="520" w:lineRule="exact"/>
        <w:jc w:val="lef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（五）交货时间：2023年8月10日前。</w:t>
      </w:r>
    </w:p>
    <w:p>
      <w:pPr>
        <w:widowControl/>
        <w:numPr>
          <w:ilvl w:val="0"/>
          <w:numId w:val="0"/>
        </w:numPr>
        <w:spacing w:line="520" w:lineRule="exact"/>
        <w:jc w:val="left"/>
        <w:rPr>
          <w:rFonts w:hint="eastAsia" w:ascii="华文楷体" w:hAnsi="华文楷体" w:eastAsia="华文楷体" w:cs="宋体"/>
          <w:kern w:val="0"/>
          <w:sz w:val="28"/>
          <w:szCs w:val="28"/>
          <w:lang w:val="en-US" w:eastAsia="zh-CN"/>
        </w:rPr>
      </w:pPr>
      <w:r>
        <w:rPr>
          <w:rFonts w:hint="eastAsia" w:ascii="华文楷体" w:hAnsi="华文楷体" w:eastAsia="华文楷体" w:cs="宋体"/>
          <w:b/>
          <w:bCs/>
          <w:kern w:val="0"/>
          <w:sz w:val="28"/>
          <w:szCs w:val="28"/>
          <w:lang w:val="en-US" w:eastAsia="zh-CN"/>
        </w:rPr>
        <w:t>三、报价说明</w:t>
      </w:r>
      <w:r>
        <w:rPr>
          <w:rFonts w:hint="eastAsia" w:ascii="华文楷体" w:hAnsi="华文楷体" w:eastAsia="华文楷体" w:cs="宋体"/>
          <w:kern w:val="0"/>
          <w:sz w:val="28"/>
          <w:szCs w:val="28"/>
          <w:lang w:val="en-US" w:eastAsia="zh-CN"/>
        </w:rPr>
        <w:t>：</w:t>
      </w:r>
    </w:p>
    <w:p>
      <w:pPr>
        <w:widowControl/>
        <w:spacing w:line="520" w:lineRule="exact"/>
        <w:jc w:val="lef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（一）单价说明：报价包含生产成本、合理利润、运输费、安装费、相应配件（门锁，螺丝）费、塞门边人工材料费、保险费、保修期内的售后服务费、运输费、工人住宿费及工伤理赔等一切费用，</w:t>
      </w:r>
      <w:r>
        <w:rPr>
          <w:rFonts w:hint="default" w:ascii="华文楷体" w:hAnsi="华文楷体" w:eastAsia="华文楷体" w:cs="宋体"/>
          <w:kern w:val="0"/>
          <w:sz w:val="28"/>
          <w:szCs w:val="28"/>
          <w:lang w:val="en-US" w:eastAsia="zh-CN"/>
        </w:rPr>
        <w:t>结算单价在协议执行期内为固定价。结算单价已充分考虑市场价格波动、生产管理费用增加等方面的风险，在协议执行期间，不管市场价格或生产管理成本等因素是否发生变化，结算单价一律不予调整，亦不免除供方按合同规定应履行的责任</w:t>
      </w:r>
      <w:r>
        <w:rPr>
          <w:rFonts w:hint="eastAsia" w:ascii="华文楷体" w:hAnsi="华文楷体" w:eastAsia="华文楷体" w:cs="宋体"/>
          <w:kern w:val="0"/>
          <w:sz w:val="28"/>
          <w:szCs w:val="28"/>
          <w:lang w:val="en-US" w:eastAsia="zh-CN"/>
        </w:rPr>
        <w:t>。</w:t>
      </w:r>
    </w:p>
    <w:p>
      <w:pPr>
        <w:widowControl/>
        <w:spacing w:line="520" w:lineRule="exact"/>
        <w:jc w:val="left"/>
        <w:rPr>
          <w:rFonts w:hint="eastAsia" w:ascii="华文楷体" w:hAnsi="华文楷体" w:eastAsia="宋体" w:cs="宋体"/>
          <w:kern w:val="0"/>
          <w:sz w:val="28"/>
          <w:szCs w:val="28"/>
          <w:lang w:val="en-US" w:eastAsia="zh-CN"/>
        </w:rPr>
      </w:pPr>
      <w:r>
        <w:rPr>
          <w:rFonts w:hint="eastAsia" w:ascii="华文楷体" w:hAnsi="华文楷体" w:eastAsia="华文楷体" w:cs="宋体"/>
          <w:kern w:val="0"/>
          <w:sz w:val="28"/>
          <w:szCs w:val="28"/>
          <w:lang w:val="en-US" w:eastAsia="zh-CN"/>
        </w:rPr>
        <w:t>（二）支付方式：</w:t>
      </w:r>
      <w:r>
        <w:rPr>
          <w:rFonts w:hint="default" w:ascii="华文楷体" w:hAnsi="华文楷体" w:eastAsia="华文楷体" w:cs="宋体"/>
          <w:kern w:val="0"/>
          <w:sz w:val="28"/>
          <w:szCs w:val="28"/>
          <w:lang w:val="en-US" w:eastAsia="zh-CN" w:bidi="ar-SA"/>
        </w:rPr>
        <w:t>对公转账</w:t>
      </w:r>
      <w:r>
        <w:rPr>
          <w:rFonts w:hint="eastAsia" w:ascii="华文楷体" w:hAnsi="华文楷体" w:eastAsia="华文楷体" w:cs="宋体"/>
          <w:kern w:val="0"/>
          <w:sz w:val="28"/>
          <w:szCs w:val="28"/>
          <w:lang w:val="en-US" w:eastAsia="zh-CN" w:bidi="ar-SA"/>
        </w:rPr>
        <w:t>。</w:t>
      </w:r>
    </w:p>
    <w:p>
      <w:pPr>
        <w:widowControl/>
        <w:spacing w:line="520" w:lineRule="exact"/>
        <w:jc w:val="left"/>
        <w:rPr>
          <w:rFonts w:hint="default" w:ascii="华文楷体" w:hAnsi="华文楷体" w:eastAsia="华文楷体" w:cs="宋体"/>
          <w:kern w:val="0"/>
          <w:sz w:val="28"/>
          <w:szCs w:val="28"/>
          <w:highlight w:val="none"/>
          <w:lang w:val="en-US" w:eastAsia="zh-CN"/>
        </w:rPr>
      </w:pPr>
      <w:r>
        <w:rPr>
          <w:rFonts w:hint="eastAsia" w:ascii="华文楷体" w:hAnsi="华文楷体" w:eastAsia="华文楷体" w:cs="宋体"/>
          <w:kern w:val="0"/>
          <w:sz w:val="28"/>
          <w:szCs w:val="28"/>
          <w:highlight w:val="none"/>
          <w:lang w:val="en-US" w:eastAsia="zh-CN"/>
        </w:rPr>
        <w:t>（三）上限价：人民币 ¥：258400元。</w:t>
      </w:r>
    </w:p>
    <w:p>
      <w:pPr>
        <w:widowControl/>
        <w:spacing w:line="520" w:lineRule="exact"/>
        <w:jc w:val="left"/>
        <w:rPr>
          <w:rFonts w:hint="eastAsia" w:ascii="华文楷体" w:hAnsi="华文楷体" w:eastAsia="华文楷体" w:cs="宋体"/>
          <w:b/>
          <w:bCs/>
          <w:kern w:val="0"/>
          <w:sz w:val="28"/>
          <w:szCs w:val="28"/>
          <w:lang w:val="en-US" w:eastAsia="zh-CN"/>
        </w:rPr>
      </w:pPr>
      <w:r>
        <w:rPr>
          <w:rFonts w:hint="eastAsia" w:ascii="华文楷体" w:hAnsi="华文楷体" w:eastAsia="华文楷体" w:cs="宋体"/>
          <w:b/>
          <w:bCs/>
          <w:kern w:val="0"/>
          <w:sz w:val="28"/>
          <w:szCs w:val="28"/>
          <w:lang w:val="en-US" w:eastAsia="zh-CN"/>
        </w:rPr>
        <w:t>四、结算方式：</w:t>
      </w:r>
      <w:r>
        <w:rPr>
          <w:rFonts w:hint="default" w:ascii="华文楷体" w:hAnsi="华文楷体" w:eastAsia="华文楷体" w:cs="宋体"/>
          <w:kern w:val="0"/>
          <w:sz w:val="28"/>
          <w:szCs w:val="28"/>
          <w:lang w:val="en-US" w:eastAsia="zh-CN"/>
        </w:rPr>
        <w:t>提供增值税普通发票，银行转帐支付，</w:t>
      </w:r>
      <w:r>
        <w:rPr>
          <w:rFonts w:hint="eastAsia" w:ascii="华文楷体" w:hAnsi="华文楷体" w:eastAsia="华文楷体" w:cs="宋体"/>
          <w:kern w:val="0"/>
          <w:sz w:val="28"/>
          <w:szCs w:val="28"/>
          <w:lang w:val="en-US" w:eastAsia="zh-CN"/>
        </w:rPr>
        <w:t>货到安装且通过验收后30</w:t>
      </w:r>
      <w:r>
        <w:rPr>
          <w:rFonts w:hint="default" w:ascii="华文楷体" w:hAnsi="华文楷体" w:eastAsia="华文楷体" w:cs="宋体"/>
          <w:kern w:val="0"/>
          <w:sz w:val="28"/>
          <w:szCs w:val="28"/>
          <w:lang w:val="en-US" w:eastAsia="zh-CN"/>
        </w:rPr>
        <w:t>天内付款。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default" w:ascii="华文楷体" w:hAnsi="华文楷体" w:eastAsia="华文楷体" w:cs="宋体"/>
          <w:kern w:val="0"/>
          <w:sz w:val="28"/>
          <w:szCs w:val="28"/>
          <w:lang w:val="en-US" w:eastAsia="zh-CN"/>
        </w:rPr>
      </w:pPr>
      <w:r>
        <w:rPr>
          <w:rFonts w:hint="eastAsia" w:ascii="华文楷体" w:hAnsi="华文楷体" w:eastAsia="华文楷体" w:cs="宋体"/>
          <w:b/>
          <w:bCs/>
          <w:kern w:val="0"/>
          <w:sz w:val="28"/>
          <w:szCs w:val="28"/>
          <w:lang w:val="en-US" w:eastAsia="zh-CN"/>
        </w:rPr>
        <w:t>五、询价成交原则：</w:t>
      </w:r>
      <w:r>
        <w:rPr>
          <w:rFonts w:hint="default" w:ascii="华文楷体" w:hAnsi="华文楷体" w:eastAsia="华文楷体" w:cs="宋体"/>
          <w:kern w:val="0"/>
          <w:sz w:val="28"/>
          <w:szCs w:val="28"/>
          <w:lang w:val="en-US" w:eastAsia="zh-CN" w:bidi="ar-SA"/>
        </w:rPr>
        <w:t>综合考虑价格、产品供应方案、品牌质量、报价人信誉、售后服务等方面，最终确定中标人。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华文楷体" w:hAnsi="华文楷体" w:eastAsia="华文楷体" w:cs="宋体"/>
          <w:b/>
          <w:bCs/>
          <w:kern w:val="0"/>
          <w:sz w:val="28"/>
          <w:szCs w:val="28"/>
          <w:lang w:val="en-US" w:eastAsia="zh-CN"/>
        </w:rPr>
      </w:pPr>
      <w:r>
        <w:rPr>
          <w:rFonts w:hint="eastAsia" w:ascii="华文楷体" w:hAnsi="华文楷体" w:eastAsia="华文楷体" w:cs="宋体"/>
          <w:b/>
          <w:bCs/>
          <w:kern w:val="0"/>
          <w:sz w:val="28"/>
          <w:szCs w:val="28"/>
          <w:lang w:val="en-US" w:eastAsia="zh-CN"/>
        </w:rPr>
        <w:t>六、其他：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（一）</w:t>
      </w:r>
      <w:r>
        <w:rPr>
          <w:rFonts w:hint="default" w:ascii="华文楷体" w:hAnsi="华文楷体" w:eastAsia="华文楷体" w:cs="宋体"/>
          <w:kern w:val="0"/>
          <w:sz w:val="28"/>
          <w:szCs w:val="28"/>
          <w:lang w:val="en-US" w:eastAsia="zh-CN"/>
        </w:rPr>
        <w:t>请供应商认真查看上述要求严谨报价，并确保报价真实有效，为防止恶意报价，不能按要求严格执行报价的供应商，将列入我公司供应商黑名单，禁止参与我公司一切交易活动</w:t>
      </w:r>
      <w:r>
        <w:rPr>
          <w:rFonts w:hint="eastAsia" w:ascii="华文楷体" w:hAnsi="华文楷体" w:eastAsia="华文楷体" w:cs="宋体"/>
          <w:kern w:val="0"/>
          <w:sz w:val="28"/>
          <w:szCs w:val="28"/>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（二）</w:t>
      </w:r>
      <w:r>
        <w:rPr>
          <w:rFonts w:hint="default" w:ascii="华文楷体" w:hAnsi="华文楷体" w:eastAsia="华文楷体" w:cs="宋体"/>
          <w:kern w:val="0"/>
          <w:sz w:val="28"/>
          <w:szCs w:val="28"/>
          <w:lang w:val="en-US" w:eastAsia="zh-CN"/>
        </w:rPr>
        <w:t>卖方确保物资按照我方指定地点到货，到货后在使用过程若发现质量问题我方将直接做退货处理并由卖方自行承担相关费用，如货物运输途中出现货物中转、错发而产生的额外费用或造成产品损坏均由供货方承担。</w:t>
      </w:r>
    </w:p>
    <w:p>
      <w:pPr>
        <w:widowControl/>
        <w:spacing w:line="520" w:lineRule="exact"/>
        <w:ind w:firstLine="280" w:firstLineChars="100"/>
        <w:jc w:val="lef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七</w:t>
      </w:r>
      <w:r>
        <w:rPr>
          <w:rFonts w:hint="eastAsia" w:ascii="华文楷体" w:hAnsi="华文楷体" w:eastAsia="华文楷体" w:cs="宋体"/>
          <w:kern w:val="0"/>
          <w:sz w:val="28"/>
          <w:szCs w:val="28"/>
        </w:rPr>
        <w:t>、报价</w:t>
      </w:r>
      <w:r>
        <w:rPr>
          <w:rFonts w:ascii="华文楷体" w:hAnsi="华文楷体" w:eastAsia="华文楷体" w:cs="宋体"/>
          <w:kern w:val="0"/>
          <w:sz w:val="28"/>
          <w:szCs w:val="28"/>
        </w:rPr>
        <w:t>截止时间：</w:t>
      </w:r>
      <w:r>
        <w:rPr>
          <w:rFonts w:hint="eastAsia" w:ascii="华文楷体" w:hAnsi="华文楷体" w:eastAsia="华文楷体" w:cs="宋体"/>
          <w:kern w:val="0"/>
          <w:sz w:val="28"/>
          <w:szCs w:val="28"/>
          <w:lang w:val="en-US" w:eastAsia="zh-CN"/>
        </w:rPr>
        <w:t>2023年8月2日。</w:t>
      </w:r>
    </w:p>
    <w:p>
      <w:pPr>
        <w:widowControl/>
        <w:spacing w:line="520" w:lineRule="exact"/>
        <w:ind w:firstLine="280" w:firstLineChars="100"/>
        <w:jc w:val="left"/>
        <w:rPr>
          <w:rFonts w:hint="default" w:ascii="华文楷体" w:hAnsi="华文楷体" w:eastAsia="华文楷体" w:cs="宋体"/>
          <w:kern w:val="0"/>
          <w:sz w:val="24"/>
          <w:lang w:val="en-US" w:eastAsia="zh-CN"/>
        </w:rPr>
      </w:pPr>
      <w:r>
        <w:rPr>
          <w:rFonts w:hint="eastAsia" w:ascii="华文楷体" w:hAnsi="华文楷体" w:eastAsia="华文楷体" w:cs="宋体"/>
          <w:kern w:val="0"/>
          <w:sz w:val="28"/>
          <w:szCs w:val="28"/>
          <w:lang w:val="en-US" w:eastAsia="zh-CN"/>
        </w:rPr>
        <w:t>八</w:t>
      </w:r>
      <w:r>
        <w:rPr>
          <w:rFonts w:ascii="华文楷体" w:hAnsi="华文楷体" w:eastAsia="华文楷体" w:cs="宋体"/>
          <w:kern w:val="0"/>
          <w:sz w:val="28"/>
          <w:szCs w:val="28"/>
        </w:rPr>
        <w:t>、联系人：</w:t>
      </w:r>
      <w:r>
        <w:rPr>
          <w:rFonts w:hint="eastAsia" w:ascii="华文楷体" w:hAnsi="华文楷体" w:eastAsia="华文楷体" w:cs="宋体"/>
          <w:kern w:val="0"/>
          <w:sz w:val="28"/>
          <w:szCs w:val="28"/>
          <w:lang w:val="en-US" w:eastAsia="zh-CN"/>
        </w:rPr>
        <w:t>林翔新，</w:t>
      </w:r>
      <w:r>
        <w:rPr>
          <w:rFonts w:ascii="华文楷体" w:hAnsi="华文楷体" w:eastAsia="华文楷体" w:cs="宋体"/>
          <w:kern w:val="0"/>
          <w:sz w:val="28"/>
          <w:szCs w:val="28"/>
        </w:rPr>
        <w:t>电话：</w:t>
      </w:r>
      <w:r>
        <w:rPr>
          <w:rFonts w:hint="eastAsia" w:ascii="华文楷体" w:hAnsi="华文楷体" w:eastAsia="华文楷体" w:cs="宋体"/>
          <w:kern w:val="0"/>
          <w:sz w:val="28"/>
          <w:szCs w:val="28"/>
          <w:lang w:val="en-US" w:eastAsia="zh-CN"/>
        </w:rPr>
        <w:t>18176883648</w:t>
      </w:r>
    </w:p>
    <w:p>
      <w:pPr>
        <w:widowControl/>
        <w:numPr>
          <w:ilvl w:val="0"/>
          <w:numId w:val="0"/>
        </w:numPr>
        <w:spacing w:line="520" w:lineRule="exact"/>
        <w:jc w:val="right"/>
        <w:rPr>
          <w:rFonts w:hint="eastAsia" w:ascii="华文楷体" w:hAnsi="华文楷体" w:eastAsia="华文楷体" w:cs="宋体"/>
          <w:kern w:val="0"/>
          <w:sz w:val="28"/>
          <w:szCs w:val="28"/>
          <w:lang w:val="en-US" w:eastAsia="zh-CN"/>
        </w:rPr>
      </w:pPr>
    </w:p>
    <w:p>
      <w:pPr>
        <w:widowControl/>
        <w:numPr>
          <w:ilvl w:val="0"/>
          <w:numId w:val="0"/>
        </w:numPr>
        <w:spacing w:line="520" w:lineRule="exact"/>
        <w:jc w:val="right"/>
        <w:rPr>
          <w:rFonts w:hint="eastAsia"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 xml:space="preserve"> 广西路建集团建筑工程有限公司</w:t>
      </w:r>
    </w:p>
    <w:p>
      <w:pPr>
        <w:widowControl/>
        <w:numPr>
          <w:ilvl w:val="0"/>
          <w:numId w:val="0"/>
        </w:numPr>
        <w:spacing w:line="520" w:lineRule="exact"/>
        <w:jc w:val="right"/>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南湛高速1标房建工程项目</w:t>
      </w:r>
    </w:p>
    <w:p>
      <w:pPr>
        <w:widowControl/>
        <w:numPr>
          <w:ilvl w:val="0"/>
          <w:numId w:val="0"/>
        </w:numPr>
        <w:spacing w:line="520" w:lineRule="exact"/>
        <w:ind w:firstLine="7000" w:firstLineChars="2500"/>
        <w:jc w:val="both"/>
        <w:rPr>
          <w:rFonts w:hint="default" w:ascii="华文楷体" w:hAnsi="华文楷体" w:eastAsia="华文楷体" w:cs="宋体"/>
          <w:kern w:val="0"/>
          <w:sz w:val="28"/>
          <w:szCs w:val="28"/>
          <w:lang w:val="en-US" w:eastAsia="zh-CN"/>
        </w:rPr>
      </w:pPr>
      <w:r>
        <w:rPr>
          <w:rFonts w:hint="eastAsia" w:ascii="华文楷体" w:hAnsi="华文楷体" w:eastAsia="华文楷体" w:cs="宋体"/>
          <w:kern w:val="0"/>
          <w:sz w:val="28"/>
          <w:szCs w:val="28"/>
          <w:lang w:val="en-US" w:eastAsia="zh-CN"/>
        </w:rPr>
        <w:t>2023年7月29日</w:t>
      </w:r>
    </w:p>
    <w:p>
      <w:bookmarkStart w:id="0" w:name="_GoBack"/>
      <w:bookmarkEnd w:id="0"/>
    </w:p>
    <w:sectPr>
      <w:headerReference r:id="rId3" w:type="default"/>
      <w:footerReference r:id="rId4" w:type="default"/>
      <w:footerReference r:id="rId5"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rPr>
    </w:pPr>
    <w:r>
      <w:rPr>
        <w:rFonts w:hint="eastAsia" w:ascii="宋体" w:hAnsi="宋体"/>
      </w:rPr>
      <w:t>广西路建工程集团有限公司采购询价</w:t>
    </w:r>
    <w:r>
      <w:rPr>
        <w:rFonts w:hint="eastAsia" w:ascii="宋体" w:hAnsi="宋体"/>
        <w:lang w:val="en-US" w:eastAsia="zh-CN"/>
      </w:rPr>
      <w:t>文件</w:t>
    </w:r>
    <w:r>
      <w:rPr>
        <w:rFonts w:hint="eastAsia" w:ascii="宋体" w:hAnsi="宋体"/>
      </w:rPr>
      <w:t xml:space="preserve"> </w:t>
    </w:r>
    <w:r>
      <w:rPr>
        <w:rFonts w:hint="eastAsia" w:ascii="宋体" w:hAns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62469"/>
    <w:multiLevelType w:val="singleLevel"/>
    <w:tmpl w:val="EC662469"/>
    <w:lvl w:ilvl="0" w:tentative="0">
      <w:start w:val="1"/>
      <w:numFmt w:val="chineseCounting"/>
      <w:suff w:val="nothing"/>
      <w:lvlText w:val="%1、"/>
      <w:lvlJc w:val="left"/>
      <w:rPr>
        <w:rFonts w:hint="eastAsia"/>
      </w:rPr>
    </w:lvl>
  </w:abstractNum>
  <w:abstractNum w:abstractNumId="1">
    <w:nsid w:val="23FC5CF5"/>
    <w:multiLevelType w:val="singleLevel"/>
    <w:tmpl w:val="23FC5CF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Dg5ZGZmOGE0NjkxMDk4ZjAwYTEzMWJkZjQ4ZmQifQ=="/>
  </w:docVars>
  <w:rsids>
    <w:rsidRoot w:val="00000000"/>
    <w:rsid w:val="00222D88"/>
    <w:rsid w:val="00824413"/>
    <w:rsid w:val="023364E3"/>
    <w:rsid w:val="044A3E16"/>
    <w:rsid w:val="058C4449"/>
    <w:rsid w:val="06102753"/>
    <w:rsid w:val="06C91C04"/>
    <w:rsid w:val="0ACB5587"/>
    <w:rsid w:val="0B213150"/>
    <w:rsid w:val="0B8D308D"/>
    <w:rsid w:val="0B9F5788"/>
    <w:rsid w:val="0C491479"/>
    <w:rsid w:val="0C9E617B"/>
    <w:rsid w:val="0EAA673B"/>
    <w:rsid w:val="0FC14195"/>
    <w:rsid w:val="0FDF2586"/>
    <w:rsid w:val="104B76D0"/>
    <w:rsid w:val="1058236B"/>
    <w:rsid w:val="10830822"/>
    <w:rsid w:val="10854B2A"/>
    <w:rsid w:val="12056AED"/>
    <w:rsid w:val="12C6072A"/>
    <w:rsid w:val="14795545"/>
    <w:rsid w:val="15A20C0C"/>
    <w:rsid w:val="165B6AF3"/>
    <w:rsid w:val="175D0648"/>
    <w:rsid w:val="17A7200E"/>
    <w:rsid w:val="187A0739"/>
    <w:rsid w:val="1915196E"/>
    <w:rsid w:val="1E303742"/>
    <w:rsid w:val="1F1E13AB"/>
    <w:rsid w:val="1F4F44B0"/>
    <w:rsid w:val="1FDE66C7"/>
    <w:rsid w:val="20E0425E"/>
    <w:rsid w:val="213A7583"/>
    <w:rsid w:val="218A079A"/>
    <w:rsid w:val="21FD653E"/>
    <w:rsid w:val="221F7225"/>
    <w:rsid w:val="226548D2"/>
    <w:rsid w:val="227727F1"/>
    <w:rsid w:val="23AE4FF1"/>
    <w:rsid w:val="245C6464"/>
    <w:rsid w:val="247679F5"/>
    <w:rsid w:val="24E62E8A"/>
    <w:rsid w:val="25146F72"/>
    <w:rsid w:val="25777A8C"/>
    <w:rsid w:val="25975B9D"/>
    <w:rsid w:val="26F11021"/>
    <w:rsid w:val="286B57C7"/>
    <w:rsid w:val="2B394967"/>
    <w:rsid w:val="2C873C85"/>
    <w:rsid w:val="2DC560BB"/>
    <w:rsid w:val="2DD1000B"/>
    <w:rsid w:val="2DD8318D"/>
    <w:rsid w:val="2E184591"/>
    <w:rsid w:val="2F2656AB"/>
    <w:rsid w:val="2FCC394B"/>
    <w:rsid w:val="30661D72"/>
    <w:rsid w:val="327973F6"/>
    <w:rsid w:val="33CE050E"/>
    <w:rsid w:val="358952B5"/>
    <w:rsid w:val="36CC10CB"/>
    <w:rsid w:val="371F24E3"/>
    <w:rsid w:val="37955CEE"/>
    <w:rsid w:val="37A92638"/>
    <w:rsid w:val="37F04A9C"/>
    <w:rsid w:val="389D0930"/>
    <w:rsid w:val="395C1A89"/>
    <w:rsid w:val="39671ABC"/>
    <w:rsid w:val="39B4177D"/>
    <w:rsid w:val="3A5F0185"/>
    <w:rsid w:val="3B562EC2"/>
    <w:rsid w:val="3B6636C4"/>
    <w:rsid w:val="3B757F15"/>
    <w:rsid w:val="3CAB502B"/>
    <w:rsid w:val="3D793C49"/>
    <w:rsid w:val="3D9E0520"/>
    <w:rsid w:val="3DA506B2"/>
    <w:rsid w:val="3EDD358C"/>
    <w:rsid w:val="3F696545"/>
    <w:rsid w:val="3FB66124"/>
    <w:rsid w:val="405F53BF"/>
    <w:rsid w:val="41146BC6"/>
    <w:rsid w:val="419868AD"/>
    <w:rsid w:val="41BB6BA2"/>
    <w:rsid w:val="422B0C99"/>
    <w:rsid w:val="423527E3"/>
    <w:rsid w:val="42BE66EE"/>
    <w:rsid w:val="43125066"/>
    <w:rsid w:val="438D34E4"/>
    <w:rsid w:val="442A3834"/>
    <w:rsid w:val="44C46F89"/>
    <w:rsid w:val="44F00DB3"/>
    <w:rsid w:val="455C5313"/>
    <w:rsid w:val="47A366F8"/>
    <w:rsid w:val="48AF60BF"/>
    <w:rsid w:val="496A5906"/>
    <w:rsid w:val="4B4A295D"/>
    <w:rsid w:val="4C1D6606"/>
    <w:rsid w:val="4C3B2859"/>
    <w:rsid w:val="4C9855FD"/>
    <w:rsid w:val="4CF72D77"/>
    <w:rsid w:val="4D8E3082"/>
    <w:rsid w:val="4FC40D3F"/>
    <w:rsid w:val="503039F9"/>
    <w:rsid w:val="50676754"/>
    <w:rsid w:val="51084D4D"/>
    <w:rsid w:val="514C625B"/>
    <w:rsid w:val="51656219"/>
    <w:rsid w:val="52346DAB"/>
    <w:rsid w:val="52473B6C"/>
    <w:rsid w:val="52903BCD"/>
    <w:rsid w:val="52BD5368"/>
    <w:rsid w:val="56395BE6"/>
    <w:rsid w:val="57071E3E"/>
    <w:rsid w:val="58F10B7B"/>
    <w:rsid w:val="58F45564"/>
    <w:rsid w:val="596933EF"/>
    <w:rsid w:val="59A0698E"/>
    <w:rsid w:val="5BA54641"/>
    <w:rsid w:val="5C433B5F"/>
    <w:rsid w:val="5D0B11B6"/>
    <w:rsid w:val="5D267C80"/>
    <w:rsid w:val="5D582A2F"/>
    <w:rsid w:val="5D8A795A"/>
    <w:rsid w:val="5E2D4E6D"/>
    <w:rsid w:val="5E7C2B0D"/>
    <w:rsid w:val="5F26303A"/>
    <w:rsid w:val="5F746230"/>
    <w:rsid w:val="607E31F6"/>
    <w:rsid w:val="60A1428D"/>
    <w:rsid w:val="60CB2965"/>
    <w:rsid w:val="6195595D"/>
    <w:rsid w:val="632B472A"/>
    <w:rsid w:val="6367193E"/>
    <w:rsid w:val="639D0540"/>
    <w:rsid w:val="63A907E6"/>
    <w:rsid w:val="63DD683C"/>
    <w:rsid w:val="650B549F"/>
    <w:rsid w:val="65747DA0"/>
    <w:rsid w:val="673F5C8E"/>
    <w:rsid w:val="675045DA"/>
    <w:rsid w:val="67CA6ADF"/>
    <w:rsid w:val="686960C7"/>
    <w:rsid w:val="68965813"/>
    <w:rsid w:val="6898326D"/>
    <w:rsid w:val="68B97875"/>
    <w:rsid w:val="68BB5F1B"/>
    <w:rsid w:val="6960421B"/>
    <w:rsid w:val="69DF4116"/>
    <w:rsid w:val="6A33064B"/>
    <w:rsid w:val="6A435879"/>
    <w:rsid w:val="6A70189A"/>
    <w:rsid w:val="6B4F44A6"/>
    <w:rsid w:val="6BB547CA"/>
    <w:rsid w:val="6C0A31BB"/>
    <w:rsid w:val="6C240657"/>
    <w:rsid w:val="6D3C6DDC"/>
    <w:rsid w:val="6DE56487"/>
    <w:rsid w:val="6EB46942"/>
    <w:rsid w:val="6F2528FB"/>
    <w:rsid w:val="702C0FDC"/>
    <w:rsid w:val="702E77DF"/>
    <w:rsid w:val="70FC4D97"/>
    <w:rsid w:val="71572CC5"/>
    <w:rsid w:val="736E5BD1"/>
    <w:rsid w:val="749E4085"/>
    <w:rsid w:val="74BC186A"/>
    <w:rsid w:val="75267ABE"/>
    <w:rsid w:val="75673046"/>
    <w:rsid w:val="759C23AE"/>
    <w:rsid w:val="75B74B05"/>
    <w:rsid w:val="75BC66D9"/>
    <w:rsid w:val="76597A65"/>
    <w:rsid w:val="766B2F5B"/>
    <w:rsid w:val="7A445AB7"/>
    <w:rsid w:val="7A7E12ED"/>
    <w:rsid w:val="7B7326FB"/>
    <w:rsid w:val="7CA85A4F"/>
    <w:rsid w:val="7D30250F"/>
    <w:rsid w:val="7E712C55"/>
    <w:rsid w:val="7F2746AF"/>
    <w:rsid w:val="7F76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2"/>
      <w:ind w:left="601" w:firstLine="200" w:firstLineChars="200"/>
    </w:pPr>
    <w:rPr>
      <w:rFonts w:ascii="楷体" w:eastAsia="楷体" w:cs="楷体"/>
      <w:sz w:val="24"/>
      <w:lang w:val="zh-CN" w:eastAsia="zh-CN" w:bidi="zh-CN"/>
    </w:rPr>
  </w:style>
  <w:style w:type="paragraph" w:styleId="3">
    <w:name w:val="toc 5"/>
    <w:basedOn w:val="1"/>
    <w:next w:val="1"/>
    <w:qFormat/>
    <w:uiPriority w:val="0"/>
    <w:pPr>
      <w:ind w:left="1120"/>
      <w:jc w:val="left"/>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1623</Words>
  <Characters>1712</Characters>
  <Lines>0</Lines>
  <Paragraphs>0</Paragraphs>
  <TotalTime>50</TotalTime>
  <ScaleCrop>false</ScaleCrop>
  <LinksUpToDate>false</LinksUpToDate>
  <CharactersWithSpaces>1897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2021-05-21T07:38:00Z</dcterms:created>
  <dc:creator>fuxiaofeng</dc:creator>
  <cp:lastModifiedBy>Ayuedexinye</cp:lastModifiedBy>
  <dcterms:modified xsi:type="dcterms:W3CDTF">2023-07-29T00:12:01Z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EBFB1BDFA02145C495DD6E9487D39D2A</vt:lpwstr>
  </property>
</Properties>
</file>