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紫云凤景湾项目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2023年9月营销中心氛围包装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紫云凤景湾项目2023年9月营销中心氛围包装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2023年9月5日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紫云凤景湾项目2023年9月营销中心氛围包装询价公告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紫云凤景湾项目2023年9月营销中心氛围包装,项目编号：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BTDC-2023-FW7370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项目地点：贺州市八步区光明大道1688号北投紫云凤景湾营销中心。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紫云凤景湾项目2023年9月营销中心氛围包装。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采购内容：水吧/前台背胶、道旗、桁架画面、垃圾桶包装、地贴、沙盘玻璃贴、桌贴、LED大屏包边、园林围挡画面、精神堡垒亚克力、物料安装等，具体内容详见“十、报价文件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服务周期：合同签订之日起7日内（以甲方通知时间为准）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10368.51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元（大写人民币壹万零叁佰陆拾捌元伍角壹分）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广告设计、图文设计制作、广告制作、包装服务等范围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自2022年1月起承接过1个1.5万元以上广告策划或包装服务型的业绩（证明资料：以中标通知书或合同关键页复印件并加盖报价人公章）。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合作商负责在采购人要求期限内完成紫云凤景湾项目2023年9月营销中心氛围包装物料制作，并送至指定地点并安装。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本项目采用固定单价形式。固定单价包含物料制作费、安装费、人工费、意外保险及税费等与之相关的一切费用，实际费用最终据实结算。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九、报价文件提交要求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贺州市八步区光明大道1688号北投紫云凤景湾营销中心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18376668071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yellow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yellow"/>
          <w:lang w:val="zh-CN" w:eastAsia="zh-CN" w:bidi="ar-S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十、报价文件（格式）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紫云凤景湾项目2023年9月营销中心氛围包装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项目编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号：BTDC-2023-FW7370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</w:rPr>
        <w:t>名称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yellow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09"/>
        <w:gridCol w:w="2316"/>
        <w:gridCol w:w="1047"/>
        <w:gridCol w:w="996"/>
        <w:gridCol w:w="1047"/>
        <w:gridCol w:w="1047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水吧背胶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背胶，6.51m*1.11m(h)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前台背胶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尺寸一：3.63m*0.675m(h)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尺寸二：0.795m*0.675m(h)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道旗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喷绘，双面，胶水粘贴，0.5m*2.6m（h)*2面,8个，中间留2cm过渡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520黑底喷绘，三合围,2个，4.8m(L)*1m(w)*3m(h)*2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垃圾桶包装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背胶，3个，侧面：0.51m*0.97m(h)*2个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正面：0.45m*0.71m(h)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金蛋台包装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KT，2m*0.8m（h）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吊旗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异形pvc+uv，0.6m*0.5m(h)，40块，双面UV雕刻印制画面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方形背胶，2.5（L）*2m（H）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圆形背胶，0.8m*0.8m(h)，6块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异形背胶，16cm(h)*33cm，6块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沙盘玻璃贴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白底背胶贴，23㎝（高）*407㎝、2面。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23㎝（高）*303㎝、2面。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买房送超级建材礼包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纸板过写真，5.78*1（h）米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洽谈区墙面广告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KT板，3.38m（L）*2.92m（H）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LED大屏包边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KT板，上部：4.836m（L）*0.192m（H）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下部：5.22m（L）*1.084m（H）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侧面：0.192m（L）*2.46m（H），2块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园林围挡画面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围挡画面，白底精喷520喷绘，全长90米*1.8米，包含人工、工具、螺丝上墙等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含安装费，不含税费、运输费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户外桁架，黑底喷绘，3*2.21h,左右各加20cm包边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精神堡垒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5厘亚克力雕刻，1米*1.4米1块拼接，0.6*0.4米金色云朵*2片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不含税费、安装费、运输费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物料安装费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工人现场安装，佩带工具等物料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不含税小计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紫云凤景湾项目2023年9月营销中心氛围包装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5F834A1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094400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142C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28D7F33"/>
    <w:rsid w:val="33CA3782"/>
    <w:rsid w:val="33F94DBB"/>
    <w:rsid w:val="34AE76F7"/>
    <w:rsid w:val="350473F1"/>
    <w:rsid w:val="353A4937"/>
    <w:rsid w:val="37184E79"/>
    <w:rsid w:val="37330CAE"/>
    <w:rsid w:val="381D1409"/>
    <w:rsid w:val="38B14236"/>
    <w:rsid w:val="3A3A74A3"/>
    <w:rsid w:val="3A6569CE"/>
    <w:rsid w:val="3A843062"/>
    <w:rsid w:val="3D031AB2"/>
    <w:rsid w:val="3E0B728C"/>
    <w:rsid w:val="3E6D60A1"/>
    <w:rsid w:val="3EBE15AD"/>
    <w:rsid w:val="3EF5335B"/>
    <w:rsid w:val="3F151214"/>
    <w:rsid w:val="3F4F6D77"/>
    <w:rsid w:val="3F5218CB"/>
    <w:rsid w:val="3F8E7722"/>
    <w:rsid w:val="42906A0C"/>
    <w:rsid w:val="434A39FF"/>
    <w:rsid w:val="43547DA8"/>
    <w:rsid w:val="438C48B9"/>
    <w:rsid w:val="4470292A"/>
    <w:rsid w:val="4549072B"/>
    <w:rsid w:val="45662CB0"/>
    <w:rsid w:val="4574179F"/>
    <w:rsid w:val="468962B0"/>
    <w:rsid w:val="46BD6A91"/>
    <w:rsid w:val="4716350C"/>
    <w:rsid w:val="47A6632A"/>
    <w:rsid w:val="47C63E08"/>
    <w:rsid w:val="47F27E65"/>
    <w:rsid w:val="47F75FAE"/>
    <w:rsid w:val="48054931"/>
    <w:rsid w:val="48723A7B"/>
    <w:rsid w:val="49180DDD"/>
    <w:rsid w:val="49AD5517"/>
    <w:rsid w:val="4B4E7D13"/>
    <w:rsid w:val="4C9206D3"/>
    <w:rsid w:val="4CB24BE4"/>
    <w:rsid w:val="4D414269"/>
    <w:rsid w:val="50D10B03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C46795B"/>
    <w:rsid w:val="5D1B158B"/>
    <w:rsid w:val="5D5E4C82"/>
    <w:rsid w:val="5D9D0877"/>
    <w:rsid w:val="60237375"/>
    <w:rsid w:val="60BA4B38"/>
    <w:rsid w:val="627A034E"/>
    <w:rsid w:val="62C91740"/>
    <w:rsid w:val="66553F00"/>
    <w:rsid w:val="66E24C29"/>
    <w:rsid w:val="6707563D"/>
    <w:rsid w:val="6727485C"/>
    <w:rsid w:val="673E295D"/>
    <w:rsid w:val="6A757FB9"/>
    <w:rsid w:val="6B2A452A"/>
    <w:rsid w:val="6B540964"/>
    <w:rsid w:val="6BAD3BFC"/>
    <w:rsid w:val="6BDA610E"/>
    <w:rsid w:val="6BE73BFD"/>
    <w:rsid w:val="6C880900"/>
    <w:rsid w:val="6D9350D3"/>
    <w:rsid w:val="6DA235B2"/>
    <w:rsid w:val="6E2F6247"/>
    <w:rsid w:val="6E557B10"/>
    <w:rsid w:val="6EA6453D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6677639"/>
    <w:rsid w:val="76FB215E"/>
    <w:rsid w:val="778057BE"/>
    <w:rsid w:val="77EE0AC6"/>
    <w:rsid w:val="796730E4"/>
    <w:rsid w:val="79CC0DB0"/>
    <w:rsid w:val="79D833A4"/>
    <w:rsid w:val="7A385A27"/>
    <w:rsid w:val="7A602F0F"/>
    <w:rsid w:val="7AB7745D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2893</Words>
  <Characters>3425</Characters>
  <Lines>37</Lines>
  <Paragraphs>53</Paragraphs>
  <TotalTime>18</TotalTime>
  <ScaleCrop>false</ScaleCrop>
  <LinksUpToDate>false</LinksUpToDate>
  <CharactersWithSpaces>4113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张智华,zhangzhihua</cp:lastModifiedBy>
  <dcterms:modified xsi:type="dcterms:W3CDTF">2023-09-04T03:59:35Z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A2DC730E196D47D398D378A7AF376934_13</vt:lpwstr>
  </property>
</Properties>
</file>