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rPr>
        <w:t xml:space="preserve"> </w:t>
      </w:r>
      <w:r>
        <w:rPr>
          <w:rFonts w:hint="eastAsia" w:ascii="宋体" w:hAnsi="宋体" w:eastAsia="宋体" w:cs="宋体"/>
          <w:b/>
          <w:bCs/>
          <w:sz w:val="28"/>
          <w:szCs w:val="28"/>
          <w:lang w:val="en-US" w:eastAsia="zh-CN"/>
        </w:rPr>
        <w:t>广西路建集团建筑工程有限公司</w:t>
      </w:r>
    </w:p>
    <w:p>
      <w:pPr>
        <w:spacing w:line="520" w:lineRule="exact"/>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东兴第二工作站五金材料采购简易询价文件</w:t>
      </w:r>
    </w:p>
    <w:p>
      <w:pPr>
        <w:spacing w:line="520" w:lineRule="exact"/>
        <w:rPr>
          <w:rFonts w:hint="eastAsia" w:ascii="宋体" w:hAnsi="宋体" w:eastAsia="宋体" w:cs="宋体"/>
          <w:color w:val="000000"/>
          <w:sz w:val="28"/>
          <w:szCs w:val="28"/>
          <w:u w:val="single"/>
          <w:lang w:val="en-US" w:eastAsia="zh-CN"/>
        </w:rPr>
      </w:pPr>
    </w:p>
    <w:p>
      <w:pPr>
        <w:numPr>
          <w:ilvl w:val="0"/>
          <w:numId w:val="1"/>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供应商资质要求：</w:t>
      </w:r>
    </w:p>
    <w:p>
      <w:pPr>
        <w:numPr>
          <w:ilvl w:val="0"/>
          <w:numId w:val="0"/>
        </w:numPr>
        <w:spacing w:line="520" w:lineRule="exact"/>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（一）资质要求：竞选人须在中华人民共和国境内注册,具有独立法人资格,具备完全民事行为能力、能够独立承担民事责任的法人，</w:t>
      </w:r>
      <w:r>
        <w:rPr>
          <w:rFonts w:hint="eastAsia" w:ascii="宋体" w:hAnsi="宋体" w:cs="宋体"/>
          <w:b w:val="0"/>
          <w:bCs w:val="0"/>
          <w:sz w:val="28"/>
          <w:szCs w:val="28"/>
          <w:lang w:val="en-US" w:eastAsia="zh-CN"/>
        </w:rPr>
        <w:t>五金材料</w:t>
      </w:r>
      <w:r>
        <w:rPr>
          <w:rFonts w:hint="eastAsia" w:ascii="宋体" w:hAnsi="宋体" w:eastAsia="宋体" w:cs="宋体"/>
          <w:b w:val="0"/>
          <w:bCs w:val="0"/>
          <w:color w:val="000000" w:themeColor="text1"/>
          <w:sz w:val="28"/>
          <w:szCs w:val="28"/>
          <w:lang w:val="en-US" w:eastAsia="zh-CN"/>
          <w14:textFill>
            <w14:solidFill>
              <w14:schemeClr w14:val="tx1"/>
            </w14:solidFill>
          </w14:textFill>
        </w:rPr>
        <w:t>产品的厂家、代理商或经销商。</w:t>
      </w:r>
    </w:p>
    <w:p>
      <w:pPr>
        <w:spacing w:line="520" w:lineRule="exact"/>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（二）财务要求：竞选人具有较强经济实力和良好的财务状况。</w:t>
      </w:r>
    </w:p>
    <w:p>
      <w:pPr>
        <w:spacing w:line="520" w:lineRule="exact"/>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（三）业绩要求：近三年（2020年6月-2023年6月）具有</w:t>
      </w:r>
      <w:r>
        <w:rPr>
          <w:rFonts w:hint="eastAsia" w:ascii="宋体" w:hAnsi="宋体" w:cs="宋体"/>
          <w:b w:val="0"/>
          <w:bCs w:val="0"/>
          <w:sz w:val="28"/>
          <w:szCs w:val="28"/>
          <w:lang w:val="en-US" w:eastAsia="zh-CN"/>
        </w:rPr>
        <w:t>五金材料</w:t>
      </w:r>
      <w:r>
        <w:rPr>
          <w:rFonts w:hint="eastAsia" w:ascii="宋体" w:hAnsi="宋体" w:eastAsia="宋体" w:cs="宋体"/>
          <w:b w:val="0"/>
          <w:bCs w:val="0"/>
          <w:sz w:val="28"/>
          <w:szCs w:val="28"/>
          <w:lang w:val="en-US" w:eastAsia="zh-CN"/>
        </w:rPr>
        <w:t>供应的经验和业绩（中标通知书或合同）；具有一流的供应能力、技术能力、供应链整合能力。</w:t>
      </w:r>
    </w:p>
    <w:p>
      <w:pPr>
        <w:spacing w:line="520" w:lineRule="exact"/>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四）信誉要求：竞选人应有较好的商业信誉。工作信誉不佳、有过不良履约记录的单位不能参与报名。根据最高人民法院等9部门《关于在招投标活动中对失信被执行人实施联合惩戒的通知》（法（2016）285号）规定，对在“信用中国”网站（www.creditchina.gov.cn）中被列入失信被执行人或重大税收违法案件当事人名单，或政府采购严重违法失信名单的供应商，不得参与;</w:t>
      </w:r>
    </w:p>
    <w:p>
      <w:pPr>
        <w:spacing w:line="520" w:lineRule="exact"/>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五）选取不接受任何形式的联合体竞选，与选取人存在利害关系可能影响选取公正性的法人、其他组织或者个人，不得参加竞选。若单位负责人为同一人、或者存在控股、管理关系的不同单位，不得参加同一项目选取，否则按否决其竞选处理。</w:t>
      </w:r>
    </w:p>
    <w:p>
      <w:pPr>
        <w:spacing w:line="520" w:lineRule="exact"/>
        <w:rPr>
          <w:rFonts w:hint="eastAsia" w:ascii="宋体" w:hAnsi="宋体" w:eastAsia="宋体" w:cs="宋体"/>
          <w:sz w:val="28"/>
          <w:szCs w:val="28"/>
        </w:rPr>
      </w:pPr>
      <w:r>
        <w:rPr>
          <w:rFonts w:hint="eastAsia" w:ascii="宋体" w:hAnsi="宋体" w:eastAsia="宋体" w:cs="宋体"/>
          <w:b/>
          <w:bCs/>
          <w:sz w:val="28"/>
          <w:szCs w:val="28"/>
          <w:lang w:val="en-US" w:eastAsia="zh-CN"/>
        </w:rPr>
        <w:t>二、采购范围及相关要求：</w:t>
      </w:r>
      <w:r>
        <w:rPr>
          <w:rFonts w:hint="eastAsia" w:ascii="宋体" w:hAnsi="宋体" w:eastAsia="宋体" w:cs="宋体"/>
          <w:sz w:val="28"/>
          <w:szCs w:val="28"/>
        </w:rPr>
        <w:t xml:space="preserve"> </w:t>
      </w:r>
    </w:p>
    <w:p>
      <w:pPr>
        <w:widowControl/>
        <w:spacing w:line="520" w:lineRule="exact"/>
        <w:jc w:val="left"/>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一</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采购内容</w:t>
      </w:r>
      <w:r>
        <w:rPr>
          <w:rFonts w:hint="eastAsia" w:ascii="宋体" w:hAnsi="宋体" w:eastAsia="宋体" w:cs="宋体"/>
          <w:kern w:val="0"/>
          <w:sz w:val="28"/>
          <w:szCs w:val="28"/>
          <w:lang w:eastAsia="zh-CN"/>
        </w:rPr>
        <w:t>：</w:t>
      </w:r>
    </w:p>
    <w:p>
      <w:pPr>
        <w:pStyle w:val="2"/>
        <w:rPr>
          <w:rFonts w:hint="eastAsia" w:ascii="宋体" w:hAnsi="宋体" w:eastAsia="宋体" w:cs="宋体"/>
          <w:sz w:val="28"/>
          <w:szCs w:val="28"/>
          <w:lang w:eastAsia="zh-CN"/>
        </w:rPr>
      </w:pPr>
      <w:r>
        <w:rPr>
          <w:rFonts w:hint="eastAsia" w:ascii="宋体" w:hAnsi="宋体" w:eastAsia="宋体" w:cs="宋体"/>
          <w:b/>
          <w:bCs/>
          <w:sz w:val="28"/>
          <w:szCs w:val="28"/>
          <w:lang w:val="en-US" w:eastAsia="zh-CN"/>
        </w:rPr>
        <w:t>采购电梯内容详见附件1。</w:t>
      </w:r>
    </w:p>
    <w:p>
      <w:pPr>
        <w:widowControl/>
        <w:numPr>
          <w:ilvl w:val="0"/>
          <w:numId w:val="2"/>
        </w:numPr>
        <w:spacing w:line="520" w:lineRule="exact"/>
        <w:jc w:val="left"/>
        <w:rPr>
          <w:rFonts w:hint="eastAsia" w:ascii="宋体" w:hAnsi="宋体" w:eastAsia="宋体" w:cs="宋体"/>
          <w:kern w:val="0"/>
          <w:sz w:val="28"/>
          <w:szCs w:val="28"/>
          <w:lang w:eastAsia="zh-CN"/>
        </w:rPr>
      </w:pPr>
      <w:r>
        <w:rPr>
          <w:rFonts w:hint="eastAsia" w:ascii="宋体" w:hAnsi="宋体" w:eastAsia="宋体" w:cs="宋体"/>
          <w:kern w:val="0"/>
          <w:sz w:val="28"/>
          <w:szCs w:val="28"/>
        </w:rPr>
        <w:t>质量要求：</w:t>
      </w:r>
      <w:r>
        <w:rPr>
          <w:rFonts w:hint="eastAsia" w:ascii="宋体" w:hAnsi="宋体" w:eastAsia="宋体" w:cs="宋体"/>
          <w:kern w:val="0"/>
          <w:sz w:val="28"/>
          <w:szCs w:val="28"/>
          <w:lang w:eastAsia="zh-CN"/>
        </w:rPr>
        <w:t xml:space="preserve"> </w:t>
      </w:r>
    </w:p>
    <w:p>
      <w:pPr>
        <w:widowControl/>
        <w:numPr>
          <w:ilvl w:val="0"/>
          <w:numId w:val="0"/>
        </w:numPr>
        <w:spacing w:line="520" w:lineRule="exact"/>
        <w:ind w:firstLine="560" w:firstLineChars="200"/>
        <w:jc w:val="left"/>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lang w:eastAsia="zh-CN"/>
        </w:rPr>
        <w:t>提供的货物必须符合以下质量标准与技术要求：</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1）、建筑给水排水及采暖工程施工质量验收规范 （GB50242-2002）</w:t>
      </w:r>
    </w:p>
    <w:p>
      <w:pPr>
        <w:widowControl/>
        <w:numPr>
          <w:ilvl w:val="0"/>
          <w:numId w:val="0"/>
        </w:numPr>
        <w:spacing w:line="520" w:lineRule="exact"/>
        <w:ind w:firstLine="560" w:firstLineChars="200"/>
        <w:jc w:val="left"/>
        <w:rPr>
          <w:rFonts w:hint="eastAsia" w:ascii="宋体" w:hAnsi="宋体" w:eastAsia="宋体" w:cs="宋体"/>
          <w:i w:val="0"/>
          <w:iCs w:val="0"/>
          <w:caps w:val="0"/>
          <w:color w:val="444444"/>
          <w:spacing w:val="0"/>
          <w:sz w:val="28"/>
          <w:szCs w:val="28"/>
          <w:shd w:val="clear" w:fill="FFFFFF"/>
          <w:lang w:val="en-US" w:eastAsia="zh-CN"/>
        </w:rPr>
      </w:pPr>
      <w:r>
        <w:rPr>
          <w:rFonts w:hint="eastAsia" w:ascii="宋体" w:hAnsi="宋体" w:eastAsia="宋体" w:cs="宋体"/>
          <w:sz w:val="28"/>
          <w:szCs w:val="28"/>
          <w:lang w:val="en-US" w:eastAsia="zh-CN"/>
        </w:rPr>
        <w:t>2）、建筑电气工程施工质量验收规范 （GB50303-2002）</w:t>
      </w:r>
      <w:r>
        <w:rPr>
          <w:rFonts w:hint="eastAsia" w:ascii="宋体" w:hAnsi="宋体" w:eastAsia="宋体" w:cs="宋体"/>
          <w:i w:val="0"/>
          <w:iCs w:val="0"/>
          <w:caps w:val="0"/>
          <w:color w:val="444444"/>
          <w:spacing w:val="0"/>
          <w:sz w:val="28"/>
          <w:szCs w:val="28"/>
          <w:shd w:val="clear" w:fill="FFFFFF"/>
          <w:lang w:val="en-US" w:eastAsia="zh-CN"/>
        </w:rPr>
        <w:t xml:space="preserve">   </w:t>
      </w:r>
    </w:p>
    <w:p>
      <w:pPr>
        <w:widowControl/>
        <w:numPr>
          <w:ilvl w:val="0"/>
          <w:numId w:val="0"/>
        </w:numPr>
        <w:spacing w:line="520" w:lineRule="exact"/>
        <w:ind w:firstLine="560" w:firstLineChars="200"/>
        <w:jc w:val="left"/>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2、此外，货物还必须符合广西路建集团建筑工程有限公司</w:t>
      </w:r>
      <w:r>
        <w:rPr>
          <w:rFonts w:hint="eastAsia" w:ascii="宋体" w:hAnsi="宋体" w:cs="宋体"/>
          <w:sz w:val="28"/>
          <w:szCs w:val="28"/>
          <w:lang w:val="en-US" w:eastAsia="zh-CN"/>
        </w:rPr>
        <w:t>东兴第二工作站项目经理部的</w:t>
      </w:r>
      <w:r>
        <w:rPr>
          <w:rFonts w:hint="eastAsia" w:ascii="宋体" w:hAnsi="宋体" w:eastAsia="宋体" w:cs="宋体"/>
          <w:kern w:val="0"/>
          <w:sz w:val="28"/>
          <w:szCs w:val="28"/>
          <w:lang w:val="en-US" w:eastAsia="zh-CN"/>
        </w:rPr>
        <w:t>要求，货物的工艺满足甲方工程项目的设计要求，及甲方工程项目业主、监理对货物生产质量的相关规定。如甲方工程项目业主、监理方对货物的质量及其生产设备与工艺、检验有其它明确规定和要求，从其规定和要求。</w:t>
      </w:r>
      <w:r>
        <w:rPr>
          <w:rFonts w:hint="eastAsia" w:ascii="宋体" w:hAnsi="宋体" w:eastAsia="宋体" w:cs="宋体"/>
          <w:kern w:val="0"/>
          <w:sz w:val="28"/>
          <w:szCs w:val="28"/>
          <w:lang w:eastAsia="zh-CN"/>
        </w:rPr>
        <w:t xml:space="preserve">                                                                                                                                                                                </w:t>
      </w:r>
    </w:p>
    <w:p>
      <w:pPr>
        <w:widowControl/>
        <w:numPr>
          <w:ilvl w:val="0"/>
          <w:numId w:val="0"/>
        </w:numPr>
        <w:spacing w:line="520" w:lineRule="exact"/>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（三）验收标准：质量检验按本文件“二、（二） 质量要求”的相关要求与规定抽样送检，最终的质量检验应由甲方或监理代表指定的单位进行，乙方对此予以认可。如果任何被检验或测试的货物不能满足技术标准的要求，甲方可以拒绝接受该货物，乙方应更换被拒绝的货物，在甲方提出质量异议之日起3日内按甲方要求承担货物的更换或退货义务。</w:t>
      </w:r>
    </w:p>
    <w:p>
      <w:pPr>
        <w:widowControl/>
        <w:numPr>
          <w:ilvl w:val="0"/>
          <w:numId w:val="0"/>
        </w:numPr>
        <w:spacing w:line="520" w:lineRule="exact"/>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（四）</w:t>
      </w:r>
      <w:r>
        <w:rPr>
          <w:rFonts w:hint="eastAsia" w:ascii="宋体" w:hAnsi="宋体" w:eastAsia="宋体" w:cs="宋体"/>
          <w:kern w:val="0"/>
          <w:sz w:val="28"/>
          <w:szCs w:val="28"/>
        </w:rPr>
        <w:t>交货地点</w:t>
      </w:r>
      <w:r>
        <w:rPr>
          <w:rFonts w:hint="eastAsia" w:ascii="宋体" w:hAnsi="宋体" w:eastAsia="宋体" w:cs="宋体"/>
          <w:b w:val="0"/>
          <w:bCs w:val="0"/>
          <w:kern w:val="0"/>
          <w:sz w:val="28"/>
          <w:szCs w:val="28"/>
        </w:rPr>
        <w:t>:</w:t>
      </w:r>
      <w:r>
        <w:rPr>
          <w:rFonts w:hint="eastAsia" w:ascii="宋体" w:hAnsi="宋体" w:eastAsia="宋体" w:cs="宋体"/>
          <w:b w:val="0"/>
          <w:bCs w:val="0"/>
          <w:sz w:val="28"/>
          <w:szCs w:val="28"/>
          <w:lang w:val="en-US" w:eastAsia="zh-CN"/>
        </w:rPr>
        <w:t>东兴第</w:t>
      </w:r>
      <w:r>
        <w:rPr>
          <w:rFonts w:hint="eastAsia" w:ascii="宋体" w:hAnsi="宋体" w:cs="宋体"/>
          <w:b w:val="0"/>
          <w:bCs w:val="0"/>
          <w:sz w:val="28"/>
          <w:szCs w:val="28"/>
          <w:lang w:val="en-US" w:eastAsia="zh-CN"/>
        </w:rPr>
        <w:t>二工作站</w:t>
      </w:r>
      <w:r>
        <w:rPr>
          <w:rFonts w:hint="eastAsia" w:ascii="宋体" w:hAnsi="宋体" w:eastAsia="宋体" w:cs="宋体"/>
          <w:b w:val="0"/>
          <w:bCs w:val="0"/>
          <w:sz w:val="28"/>
          <w:szCs w:val="28"/>
          <w:lang w:val="en-US" w:eastAsia="zh-CN"/>
        </w:rPr>
        <w:t>工程</w:t>
      </w:r>
      <w:r>
        <w:rPr>
          <w:rFonts w:hint="eastAsia" w:ascii="宋体" w:hAnsi="宋体" w:eastAsia="宋体" w:cs="宋体"/>
          <w:kern w:val="0"/>
          <w:sz w:val="28"/>
          <w:szCs w:val="28"/>
          <w:lang w:val="en-US" w:eastAsia="zh-CN"/>
        </w:rPr>
        <w:t>指定施工现场</w:t>
      </w:r>
      <w:r>
        <w:rPr>
          <w:rFonts w:ascii="仿宋" w:hAnsi="仿宋" w:eastAsia="仿宋" w:cs="仿宋"/>
          <w:kern w:val="0"/>
          <w:sz w:val="28"/>
          <w:szCs w:val="28"/>
          <w:lang w:bidi="ar"/>
        </w:rPr>
        <w:t>（东兴市</w:t>
      </w:r>
      <w:r>
        <w:rPr>
          <w:rFonts w:hint="eastAsia" w:ascii="仿宋" w:hAnsi="仿宋" w:eastAsia="仿宋" w:cs="仿宋"/>
          <w:kern w:val="0"/>
          <w:sz w:val="28"/>
          <w:szCs w:val="28"/>
          <w:lang w:val="en-US" w:eastAsia="zh-CN" w:bidi="ar"/>
        </w:rPr>
        <w:t>原</w:t>
      </w:r>
      <w:r>
        <w:rPr>
          <w:rFonts w:ascii="仿宋" w:hAnsi="仿宋" w:eastAsia="仿宋" w:cs="仿宋"/>
          <w:kern w:val="0"/>
          <w:sz w:val="28"/>
          <w:szCs w:val="28"/>
          <w:lang w:bidi="ar"/>
        </w:rPr>
        <w:t>花博园跑马</w:t>
      </w:r>
      <w:r>
        <w:rPr>
          <w:rFonts w:ascii="仿宋" w:hAnsi="仿宋" w:eastAsia="仿宋" w:cs="仿宋"/>
          <w:color w:val="000000" w:themeColor="text1"/>
          <w:kern w:val="0"/>
          <w:sz w:val="28"/>
          <w:szCs w:val="28"/>
          <w:lang w:bidi="ar"/>
          <w14:textFill>
            <w14:solidFill>
              <w14:schemeClr w14:val="tx1"/>
            </w14:solidFill>
          </w14:textFill>
        </w:rPr>
        <w:t>场</w:t>
      </w:r>
      <w:r>
        <w:rPr>
          <w:rFonts w:hint="eastAsia" w:ascii="仿宋" w:hAnsi="仿宋" w:eastAsia="仿宋" w:cs="仿宋"/>
          <w:color w:val="000000" w:themeColor="text1"/>
          <w:kern w:val="0"/>
          <w:sz w:val="28"/>
          <w:szCs w:val="28"/>
          <w:lang w:val="en-US" w:eastAsia="zh-CN" w:bidi="ar"/>
          <w14:textFill>
            <w14:solidFill>
              <w14:schemeClr w14:val="tx1"/>
            </w14:solidFill>
          </w14:textFill>
        </w:rPr>
        <w:t>旁</w:t>
      </w:r>
      <w:r>
        <w:rPr>
          <w:rFonts w:ascii="仿宋" w:hAnsi="仿宋" w:eastAsia="仿宋" w:cs="仿宋"/>
          <w:kern w:val="0"/>
          <w:sz w:val="28"/>
          <w:szCs w:val="28"/>
          <w:lang w:bidi="ar"/>
        </w:rPr>
        <w:t>）</w:t>
      </w:r>
      <w:r>
        <w:rPr>
          <w:rFonts w:hint="eastAsia" w:ascii="宋体" w:hAnsi="宋体" w:eastAsia="宋体" w:cs="宋体"/>
          <w:kern w:val="0"/>
          <w:sz w:val="28"/>
          <w:szCs w:val="28"/>
          <w:lang w:val="en-US" w:eastAsia="zh-CN"/>
        </w:rPr>
        <w:t>。</w:t>
      </w:r>
    </w:p>
    <w:p>
      <w:pPr>
        <w:widowControl/>
        <w:numPr>
          <w:ilvl w:val="0"/>
          <w:numId w:val="0"/>
        </w:numPr>
        <w:spacing w:line="520" w:lineRule="exact"/>
        <w:jc w:val="left"/>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（五）交货时间：</w:t>
      </w:r>
      <w:r>
        <w:rPr>
          <w:rFonts w:hint="eastAsia" w:ascii="宋体" w:hAnsi="宋体" w:eastAsia="宋体" w:cs="宋体"/>
          <w:b/>
          <w:bCs/>
          <w:color w:val="000000" w:themeColor="text1"/>
          <w:kern w:val="0"/>
          <w:sz w:val="28"/>
          <w:szCs w:val="28"/>
          <w:lang w:val="en-US" w:eastAsia="zh-CN"/>
          <w14:textFill>
            <w14:solidFill>
              <w14:schemeClr w14:val="tx1"/>
            </w14:solidFill>
          </w14:textFill>
        </w:rPr>
        <w:t>按</w:t>
      </w:r>
      <w:r>
        <w:rPr>
          <w:rFonts w:hint="eastAsia" w:ascii="宋体" w:hAnsi="宋体" w:cs="宋体"/>
          <w:b/>
          <w:bCs/>
          <w:color w:val="000000" w:themeColor="text1"/>
          <w:kern w:val="0"/>
          <w:sz w:val="28"/>
          <w:szCs w:val="28"/>
          <w:lang w:val="en-US" w:eastAsia="zh-CN"/>
          <w14:textFill>
            <w14:solidFill>
              <w14:schemeClr w14:val="tx1"/>
            </w14:solidFill>
          </w14:textFill>
        </w:rPr>
        <w:t>工程施工进度，交货数量由</w:t>
      </w:r>
      <w:r>
        <w:rPr>
          <w:rFonts w:hint="eastAsia" w:ascii="宋体" w:hAnsi="宋体" w:eastAsia="宋体" w:cs="宋体"/>
          <w:b/>
          <w:bCs/>
          <w:color w:val="000000" w:themeColor="text1"/>
          <w:kern w:val="0"/>
          <w:sz w:val="28"/>
          <w:szCs w:val="28"/>
          <w:lang w:val="en-US" w:eastAsia="zh-CN"/>
          <w14:textFill>
            <w14:solidFill>
              <w14:schemeClr w14:val="tx1"/>
            </w14:solidFill>
          </w14:textFill>
        </w:rPr>
        <w:t>项目经理部</w:t>
      </w:r>
      <w:r>
        <w:rPr>
          <w:rFonts w:hint="eastAsia" w:ascii="宋体" w:hAnsi="宋体" w:cs="宋体"/>
          <w:b/>
          <w:bCs/>
          <w:color w:val="000000" w:themeColor="text1"/>
          <w:kern w:val="0"/>
          <w:sz w:val="28"/>
          <w:szCs w:val="28"/>
          <w:lang w:val="en-US" w:eastAsia="zh-CN"/>
          <w14:textFill>
            <w14:solidFill>
              <w14:schemeClr w14:val="tx1"/>
            </w14:solidFill>
          </w14:textFill>
        </w:rPr>
        <w:t>提前书面通知</w:t>
      </w:r>
      <w:r>
        <w:rPr>
          <w:rFonts w:hint="eastAsia" w:ascii="宋体" w:hAnsi="宋体" w:eastAsia="宋体" w:cs="宋体"/>
          <w:b/>
          <w:bCs/>
          <w:color w:val="000000" w:themeColor="text1"/>
          <w:kern w:val="0"/>
          <w:sz w:val="28"/>
          <w:szCs w:val="28"/>
          <w:lang w:val="en-US" w:eastAsia="zh-CN"/>
          <w14:textFill>
            <w14:solidFill>
              <w14:schemeClr w14:val="tx1"/>
            </w14:solidFill>
          </w14:textFill>
        </w:rPr>
        <w:t>。</w:t>
      </w:r>
    </w:p>
    <w:p>
      <w:pPr>
        <w:widowControl/>
        <w:numPr>
          <w:ilvl w:val="0"/>
          <w:numId w:val="0"/>
        </w:numPr>
        <w:spacing w:line="520" w:lineRule="exact"/>
        <w:jc w:val="left"/>
        <w:rPr>
          <w:rFonts w:hint="eastAsia" w:ascii="宋体" w:hAnsi="宋体" w:eastAsia="宋体" w:cs="宋体"/>
          <w:kern w:val="0"/>
          <w:sz w:val="28"/>
          <w:szCs w:val="28"/>
          <w:lang w:val="en-US" w:eastAsia="zh-CN"/>
        </w:rPr>
      </w:pPr>
      <w:r>
        <w:rPr>
          <w:rFonts w:hint="eastAsia" w:ascii="宋体" w:hAnsi="宋体" w:eastAsia="宋体" w:cs="宋体"/>
          <w:b/>
          <w:bCs/>
          <w:kern w:val="0"/>
          <w:sz w:val="28"/>
          <w:szCs w:val="28"/>
          <w:lang w:val="en-US" w:eastAsia="zh-CN"/>
        </w:rPr>
        <w:t>三、报价说明</w:t>
      </w:r>
      <w:r>
        <w:rPr>
          <w:rFonts w:hint="eastAsia" w:ascii="宋体" w:hAnsi="宋体" w:eastAsia="宋体" w:cs="宋体"/>
          <w:kern w:val="0"/>
          <w:sz w:val="28"/>
          <w:szCs w:val="28"/>
          <w:lang w:val="en-US" w:eastAsia="zh-CN"/>
        </w:rPr>
        <w:t>：</w:t>
      </w:r>
    </w:p>
    <w:p>
      <w:pPr>
        <w:widowControl/>
        <w:spacing w:line="520" w:lineRule="exact"/>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（一）单价说明：报价包含</w:t>
      </w:r>
      <w:r>
        <w:rPr>
          <w:rFonts w:hint="eastAsia" w:ascii="宋体" w:hAnsi="宋体" w:cs="宋体"/>
          <w:kern w:val="0"/>
          <w:sz w:val="28"/>
          <w:szCs w:val="28"/>
          <w:lang w:val="en-US" w:eastAsia="zh-CN"/>
        </w:rPr>
        <w:t>材料、装卸车、运输、税</w:t>
      </w:r>
      <w:r>
        <w:rPr>
          <w:rFonts w:hint="eastAsia" w:ascii="宋体" w:hAnsi="宋体" w:eastAsia="宋体" w:cs="宋体"/>
          <w:kern w:val="0"/>
          <w:sz w:val="28"/>
          <w:szCs w:val="28"/>
          <w:lang w:val="en-US" w:eastAsia="zh-CN"/>
        </w:rPr>
        <w:t>等费用等一切费用，结算单价在协议执行期内为固定价。结算单价已充分考虑市场价格波动、生产管理费用增加等方面的风险，在协议执行期间，不管市场价格或生产管理成本等因素是否发生变化，结算单价一律不予调整，亦不免除供方按合同规定应履行的责任。</w:t>
      </w:r>
    </w:p>
    <w:p>
      <w:pPr>
        <w:widowControl/>
        <w:spacing w:line="520" w:lineRule="exact"/>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（二）支付方式：</w:t>
      </w:r>
      <w:r>
        <w:rPr>
          <w:rFonts w:hint="eastAsia" w:ascii="宋体" w:hAnsi="宋体" w:eastAsia="宋体" w:cs="宋体"/>
          <w:kern w:val="0"/>
          <w:sz w:val="28"/>
          <w:szCs w:val="28"/>
          <w:lang w:val="en-US" w:eastAsia="zh-CN" w:bidi="ar-SA"/>
        </w:rPr>
        <w:t>对公转账。</w:t>
      </w:r>
    </w:p>
    <w:p>
      <w:pPr>
        <w:widowControl/>
        <w:spacing w:line="520" w:lineRule="exact"/>
        <w:jc w:val="left"/>
        <w:rPr>
          <w:rFonts w:hint="eastAsia" w:ascii="宋体" w:hAnsi="宋体" w:eastAsia="宋体" w:cs="宋体"/>
          <w:color w:val="000000" w:themeColor="text1"/>
          <w:kern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（三）上限价：</w:t>
      </w:r>
      <w:r>
        <w:rPr>
          <w:rFonts w:hint="eastAsia" w:ascii="华文楷体" w:hAnsi="华文楷体" w:eastAsia="华文楷体" w:cs="宋体"/>
          <w:color w:val="000000" w:themeColor="text1"/>
          <w:kern w:val="0"/>
          <w:sz w:val="28"/>
          <w:szCs w:val="28"/>
          <w:highlight w:val="none"/>
          <w:lang w:val="en-US" w:eastAsia="zh-CN"/>
          <w14:textFill>
            <w14:solidFill>
              <w14:schemeClr w14:val="tx1"/>
            </w14:solidFill>
          </w14:textFill>
        </w:rPr>
        <w:t>人民币¥：</w:t>
      </w:r>
      <w:r>
        <w:rPr>
          <w:rFonts w:hint="eastAsia" w:ascii="宋体" w:hAnsi="宋体" w:cs="宋体"/>
          <w:color w:val="000000" w:themeColor="text1"/>
          <w:kern w:val="0"/>
          <w:sz w:val="28"/>
          <w:szCs w:val="28"/>
          <w:highlight w:val="none"/>
          <w:lang w:val="en-US" w:eastAsia="zh-CN"/>
          <w14:textFill>
            <w14:solidFill>
              <w14:schemeClr w14:val="tx1"/>
            </w14:solidFill>
          </w14:textFill>
        </w:rPr>
        <w:t>45000.00</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元。</w:t>
      </w:r>
    </w:p>
    <w:p>
      <w:pPr>
        <w:widowControl/>
        <w:spacing w:line="520" w:lineRule="exact"/>
        <w:jc w:val="left"/>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四、结算方式：提供增值税专</w:t>
      </w:r>
      <w:r>
        <w:rPr>
          <w:rFonts w:hint="eastAsia" w:ascii="宋体" w:hAnsi="宋体" w:cs="宋体"/>
          <w:b/>
          <w:bCs/>
          <w:kern w:val="0"/>
          <w:sz w:val="28"/>
          <w:szCs w:val="28"/>
          <w:lang w:val="en-US" w:eastAsia="zh-CN"/>
        </w:rPr>
        <w:t>用</w:t>
      </w:r>
      <w:r>
        <w:rPr>
          <w:rFonts w:hint="eastAsia" w:ascii="宋体" w:hAnsi="宋体" w:eastAsia="宋体" w:cs="宋体"/>
          <w:b/>
          <w:bCs/>
          <w:kern w:val="0"/>
          <w:sz w:val="28"/>
          <w:szCs w:val="28"/>
          <w:lang w:val="en-US" w:eastAsia="zh-CN"/>
        </w:rPr>
        <w:t>发票</w:t>
      </w:r>
      <w:r>
        <w:rPr>
          <w:rFonts w:hint="eastAsia" w:ascii="宋体" w:hAnsi="宋体" w:eastAsia="宋体" w:cs="宋体"/>
          <w:kern w:val="0"/>
          <w:sz w:val="28"/>
          <w:szCs w:val="28"/>
          <w:lang w:val="en-US" w:eastAsia="zh-CN"/>
        </w:rPr>
        <w:t>，银行转帐支付，</w:t>
      </w:r>
      <w:r>
        <w:rPr>
          <w:rFonts w:hint="eastAsia" w:ascii="宋体" w:hAnsi="宋体" w:cs="宋体"/>
          <w:kern w:val="0"/>
          <w:sz w:val="28"/>
          <w:szCs w:val="28"/>
          <w:lang w:val="en-US" w:eastAsia="zh-CN"/>
        </w:rPr>
        <w:t>各批次</w:t>
      </w:r>
      <w:r>
        <w:rPr>
          <w:rFonts w:hint="eastAsia" w:ascii="宋体" w:hAnsi="宋体" w:eastAsia="宋体" w:cs="宋体"/>
          <w:b/>
          <w:bCs/>
          <w:kern w:val="0"/>
          <w:sz w:val="28"/>
          <w:szCs w:val="28"/>
          <w:lang w:val="en-US" w:eastAsia="zh-CN"/>
        </w:rPr>
        <w:t>货到</w:t>
      </w:r>
      <w:r>
        <w:rPr>
          <w:rFonts w:hint="eastAsia" w:ascii="宋体" w:hAnsi="宋体" w:cs="宋体"/>
          <w:b/>
          <w:bCs/>
          <w:kern w:val="0"/>
          <w:sz w:val="28"/>
          <w:szCs w:val="28"/>
          <w:lang w:val="en-US" w:eastAsia="zh-CN"/>
        </w:rPr>
        <w:t>验收合格后20天内</w:t>
      </w:r>
      <w:r>
        <w:rPr>
          <w:rFonts w:hint="eastAsia" w:ascii="宋体" w:hAnsi="宋体" w:cs="宋体"/>
          <w:kern w:val="0"/>
          <w:sz w:val="28"/>
          <w:szCs w:val="28"/>
          <w:lang w:val="en-US" w:eastAsia="zh-CN" w:bidi="ar-SA"/>
        </w:rPr>
        <w:t>按进场数量乘中标价支付100%</w:t>
      </w:r>
      <w:r>
        <w:rPr>
          <w:rFonts w:hint="eastAsia" w:ascii="宋体" w:hAnsi="宋体" w:eastAsia="宋体" w:cs="宋体"/>
          <w:b/>
          <w:bCs/>
          <w:kern w:val="0"/>
          <w:sz w:val="28"/>
          <w:szCs w:val="28"/>
          <w:lang w:val="en-US"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宋体" w:hAnsi="宋体" w:eastAsia="宋体" w:cs="宋体"/>
          <w:kern w:val="0"/>
          <w:sz w:val="28"/>
          <w:szCs w:val="28"/>
          <w:lang w:val="en-US" w:eastAsia="zh-CN"/>
        </w:rPr>
      </w:pPr>
      <w:r>
        <w:rPr>
          <w:rFonts w:hint="eastAsia" w:ascii="宋体" w:hAnsi="宋体" w:eastAsia="宋体" w:cs="宋体"/>
          <w:b/>
          <w:bCs/>
          <w:kern w:val="0"/>
          <w:sz w:val="28"/>
          <w:szCs w:val="28"/>
          <w:lang w:val="en-US" w:eastAsia="zh-CN"/>
        </w:rPr>
        <w:t>五、询价成交原则：</w:t>
      </w:r>
      <w:r>
        <w:rPr>
          <w:rFonts w:hint="eastAsia" w:ascii="宋体" w:hAnsi="宋体" w:eastAsia="宋体" w:cs="宋体"/>
          <w:kern w:val="0"/>
          <w:sz w:val="28"/>
          <w:szCs w:val="28"/>
          <w:lang w:val="en-US" w:eastAsia="zh-CN" w:bidi="ar-SA"/>
        </w:rPr>
        <w:t>综合考虑价格、产品供应方案、品牌质量、报价人信誉、售后服务等方面，最终确定中标人。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六、其他：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（一）请供应商认真查看上述要求严谨报价，并确保报价真实有效，为防止恶意报价，不能按要求严格执行报价的供应商，将列入我公司供应商黑名单，禁止参与我公司一切交易活动；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二）卖方确保物资按照我方指定地点到货，到货后在使用过程若发现质量问题我方将直接做退货处理并由卖方自行承担相关费用，如货物运输途中出现货物中转、错发而产生的额外费用或造成产品损坏均由供货方承担。</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七</w:t>
      </w:r>
      <w:r>
        <w:rPr>
          <w:rFonts w:hint="eastAsia" w:ascii="宋体" w:hAnsi="宋体" w:eastAsia="宋体" w:cs="宋体"/>
          <w:color w:val="000000" w:themeColor="text1"/>
          <w:kern w:val="0"/>
          <w:sz w:val="28"/>
          <w:szCs w:val="28"/>
          <w14:textFill>
            <w14:solidFill>
              <w14:schemeClr w14:val="tx1"/>
            </w14:solidFill>
          </w14:textFill>
        </w:rPr>
        <w:t>、报价截止时间：</w:t>
      </w:r>
      <w:r>
        <w:rPr>
          <w:rFonts w:hint="eastAsia" w:ascii="宋体" w:hAnsi="宋体" w:eastAsia="宋体" w:cs="宋体"/>
          <w:b/>
          <w:bCs/>
          <w:i w:val="0"/>
          <w:iCs w:val="0"/>
          <w:caps w:val="0"/>
          <w:color w:val="000000" w:themeColor="text1"/>
          <w:spacing w:val="0"/>
          <w:sz w:val="28"/>
          <w:szCs w:val="28"/>
          <w:shd w:val="clear" w:fill="FFFFFF"/>
          <w:lang w:val="en-US" w:eastAsia="zh-CN"/>
          <w14:textFill>
            <w14:solidFill>
              <w14:schemeClr w14:val="tx1"/>
            </w14:solidFill>
          </w14:textFill>
        </w:rPr>
        <w:t>2023年</w:t>
      </w:r>
      <w:r>
        <w:rPr>
          <w:rFonts w:hint="eastAsia" w:ascii="宋体" w:hAnsi="宋体" w:cs="宋体"/>
          <w:b/>
          <w:bCs/>
          <w:i w:val="0"/>
          <w:iCs w:val="0"/>
          <w:caps w:val="0"/>
          <w:color w:val="000000" w:themeColor="text1"/>
          <w:spacing w:val="0"/>
          <w:sz w:val="28"/>
          <w:szCs w:val="28"/>
          <w:shd w:val="clear" w:fill="FFFFFF"/>
          <w:lang w:val="en-US" w:eastAsia="zh-CN"/>
          <w14:textFill>
            <w14:solidFill>
              <w14:schemeClr w14:val="tx1"/>
            </w14:solidFill>
          </w14:textFill>
        </w:rPr>
        <w:t>9</w:t>
      </w:r>
      <w:r>
        <w:rPr>
          <w:rFonts w:hint="eastAsia" w:ascii="宋体" w:hAnsi="宋体" w:eastAsia="宋体" w:cs="宋体"/>
          <w:b/>
          <w:bCs/>
          <w:i w:val="0"/>
          <w:iCs w:val="0"/>
          <w:caps w:val="0"/>
          <w:color w:val="000000" w:themeColor="text1"/>
          <w:spacing w:val="0"/>
          <w:sz w:val="28"/>
          <w:szCs w:val="28"/>
          <w:shd w:val="clear" w:fill="FFFFFF"/>
          <w:lang w:val="en-US" w:eastAsia="zh-CN"/>
          <w14:textFill>
            <w14:solidFill>
              <w14:schemeClr w14:val="tx1"/>
            </w14:solidFill>
          </w14:textFill>
        </w:rPr>
        <w:t>月</w:t>
      </w:r>
      <w:r>
        <w:rPr>
          <w:rFonts w:hint="eastAsia" w:ascii="宋体" w:hAnsi="宋体" w:cs="宋体"/>
          <w:b/>
          <w:bCs/>
          <w:i w:val="0"/>
          <w:iCs w:val="0"/>
          <w:caps w:val="0"/>
          <w:color w:val="000000" w:themeColor="text1"/>
          <w:spacing w:val="0"/>
          <w:sz w:val="28"/>
          <w:szCs w:val="28"/>
          <w:shd w:val="clear" w:fill="FFFFFF"/>
          <w:lang w:val="en-US" w:eastAsia="zh-CN"/>
          <w14:textFill>
            <w14:solidFill>
              <w14:schemeClr w14:val="tx1"/>
            </w14:solidFill>
          </w14:textFill>
        </w:rPr>
        <w:t>22</w:t>
      </w:r>
      <w:bookmarkStart w:id="0" w:name="_GoBack"/>
      <w:bookmarkEnd w:id="0"/>
      <w:r>
        <w:rPr>
          <w:rFonts w:hint="eastAsia" w:ascii="宋体" w:hAnsi="宋体" w:eastAsia="宋体" w:cs="宋体"/>
          <w:b/>
          <w:bCs/>
          <w:i w:val="0"/>
          <w:iCs w:val="0"/>
          <w:caps w:val="0"/>
          <w:color w:val="000000" w:themeColor="text1"/>
          <w:spacing w:val="0"/>
          <w:sz w:val="28"/>
          <w:szCs w:val="28"/>
          <w:shd w:val="clear" w:fill="FFFFFF"/>
          <w:lang w:val="en-US" w:eastAsia="zh-CN"/>
          <w14:textFill>
            <w14:solidFill>
              <w14:schemeClr w14:val="tx1"/>
            </w14:solidFill>
          </w14:textFill>
        </w:rPr>
        <w:t>日1</w:t>
      </w:r>
      <w:r>
        <w:rPr>
          <w:rFonts w:hint="eastAsia" w:ascii="宋体" w:hAnsi="宋体" w:cs="宋体"/>
          <w:b/>
          <w:bCs/>
          <w:i w:val="0"/>
          <w:iCs w:val="0"/>
          <w:caps w:val="0"/>
          <w:color w:val="000000" w:themeColor="text1"/>
          <w:spacing w:val="0"/>
          <w:sz w:val="28"/>
          <w:szCs w:val="28"/>
          <w:shd w:val="clear" w:fill="FFFFFF"/>
          <w:lang w:val="en-US" w:eastAsia="zh-CN"/>
          <w14:textFill>
            <w14:solidFill>
              <w14:schemeClr w14:val="tx1"/>
            </w14:solidFill>
          </w14:textFill>
        </w:rPr>
        <w:t>0</w:t>
      </w:r>
      <w:r>
        <w:rPr>
          <w:rFonts w:hint="eastAsia" w:ascii="宋体" w:hAnsi="宋体" w:eastAsia="宋体" w:cs="宋体"/>
          <w:b/>
          <w:bCs/>
          <w:i w:val="0"/>
          <w:iCs w:val="0"/>
          <w:caps w:val="0"/>
          <w:color w:val="000000" w:themeColor="text1"/>
          <w:spacing w:val="0"/>
          <w:sz w:val="28"/>
          <w:szCs w:val="28"/>
          <w:shd w:val="clear" w:fill="FFFFFF"/>
          <w:lang w:val="en-US" w:eastAsia="zh-CN"/>
          <w14:textFill>
            <w14:solidFill>
              <w14:schemeClr w14:val="tx1"/>
            </w14:solidFill>
          </w14:textFill>
        </w:rPr>
        <w:t>时00分</w:t>
      </w:r>
      <w:r>
        <w:rPr>
          <w:rFonts w:hint="eastAsia" w:ascii="宋体" w:hAnsi="宋体" w:cs="宋体"/>
          <w:b/>
          <w:bCs/>
          <w:i w:val="0"/>
          <w:iCs w:val="0"/>
          <w:caps w:val="0"/>
          <w:color w:val="000000" w:themeColor="text1"/>
          <w:spacing w:val="0"/>
          <w:sz w:val="28"/>
          <w:szCs w:val="28"/>
          <w:shd w:val="clear" w:fill="FFFFFF"/>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宋体" w:hAnsi="宋体" w:eastAsia="宋体" w:cs="宋体"/>
          <w:i w:val="0"/>
          <w:iCs w:val="0"/>
          <w:caps w:val="0"/>
          <w:color w:val="444444"/>
          <w:spacing w:val="0"/>
          <w:sz w:val="28"/>
          <w:szCs w:val="28"/>
          <w:shd w:val="clear" w:fill="FFFFFF"/>
          <w:lang w:val="en-US" w:eastAsia="zh-CN"/>
        </w:rPr>
      </w:pPr>
      <w:r>
        <w:rPr>
          <w:rFonts w:hint="eastAsia" w:ascii="宋体" w:hAnsi="宋体" w:eastAsia="宋体" w:cs="宋体"/>
          <w:kern w:val="0"/>
          <w:sz w:val="28"/>
          <w:szCs w:val="28"/>
          <w:lang w:val="en-US" w:eastAsia="zh-CN"/>
        </w:rPr>
        <w:t>八</w:t>
      </w:r>
      <w:r>
        <w:rPr>
          <w:rFonts w:hint="eastAsia" w:ascii="宋体" w:hAnsi="宋体" w:eastAsia="宋体" w:cs="宋体"/>
          <w:kern w:val="0"/>
          <w:sz w:val="28"/>
          <w:szCs w:val="28"/>
        </w:rPr>
        <w:t>、联系人：</w:t>
      </w:r>
      <w:r>
        <w:rPr>
          <w:rFonts w:hint="eastAsia" w:ascii="宋体" w:hAnsi="宋体" w:eastAsia="宋体" w:cs="宋体"/>
          <w:i w:val="0"/>
          <w:iCs w:val="0"/>
          <w:caps w:val="0"/>
          <w:color w:val="444444"/>
          <w:spacing w:val="0"/>
          <w:sz w:val="28"/>
          <w:szCs w:val="28"/>
          <w:shd w:val="clear" w:fill="FFFFFF"/>
          <w:lang w:val="en-US" w:eastAsia="zh-CN"/>
        </w:rPr>
        <w:t xml:space="preserve">黄先生   18176883968   </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lang w:val="en-US" w:eastAsia="zh-CN"/>
        </w:rPr>
      </w:pPr>
      <w:r>
        <w:rPr>
          <w:rFonts w:hint="eastAsia" w:ascii="宋体" w:hAnsi="宋体" w:eastAsia="宋体" w:cs="宋体"/>
          <w:i w:val="0"/>
          <w:iCs w:val="0"/>
          <w:caps w:val="0"/>
          <w:color w:val="444444"/>
          <w:spacing w:val="0"/>
          <w:sz w:val="28"/>
          <w:szCs w:val="28"/>
          <w:shd w:val="clear" w:fill="FFFFFF"/>
          <w:lang w:val="en-US" w:eastAsia="zh-CN"/>
        </w:rPr>
        <w:t xml:space="preserve">    陈先生   13152504936</w:t>
      </w:r>
    </w:p>
    <w:p>
      <w:pPr>
        <w:widowControl/>
        <w:spacing w:line="520" w:lineRule="exact"/>
        <w:jc w:val="left"/>
        <w:rPr>
          <w:rFonts w:hint="eastAsia" w:ascii="宋体" w:hAnsi="宋体" w:eastAsia="宋体" w:cs="宋体"/>
          <w:kern w:val="0"/>
          <w:sz w:val="28"/>
          <w:szCs w:val="28"/>
          <w:lang w:val="en-US" w:eastAsia="zh-CN"/>
        </w:rPr>
      </w:pPr>
    </w:p>
    <w:p>
      <w:pPr>
        <w:widowControl/>
        <w:numPr>
          <w:ilvl w:val="0"/>
          <w:numId w:val="0"/>
        </w:numPr>
        <w:spacing w:line="520" w:lineRule="exact"/>
        <w:jc w:val="right"/>
        <w:rPr>
          <w:rFonts w:hint="eastAsia" w:ascii="宋体" w:hAnsi="宋体" w:eastAsia="宋体" w:cs="宋体"/>
          <w:kern w:val="0"/>
          <w:sz w:val="28"/>
          <w:szCs w:val="28"/>
          <w:lang w:val="en-US" w:eastAsia="zh-CN"/>
        </w:rPr>
      </w:pPr>
    </w:p>
    <w:p>
      <w:pPr>
        <w:widowControl/>
        <w:numPr>
          <w:ilvl w:val="0"/>
          <w:numId w:val="0"/>
        </w:numPr>
        <w:spacing w:line="520" w:lineRule="exact"/>
        <w:jc w:val="center"/>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lang w:val="en-US" w:eastAsia="zh-CN"/>
        </w:rPr>
        <w:t xml:space="preserve"> 广西路建集团建筑工程有限公司</w:t>
      </w:r>
    </w:p>
    <w:p>
      <w:pPr>
        <w:widowControl/>
        <w:numPr>
          <w:ilvl w:val="0"/>
          <w:numId w:val="0"/>
        </w:numPr>
        <w:spacing w:line="520" w:lineRule="exact"/>
        <w:jc w:val="center"/>
        <w:rPr>
          <w:rFonts w:hint="eastAsia" w:ascii="宋体" w:hAnsi="宋体" w:eastAsia="宋体" w:cs="宋体"/>
          <w:b w:val="0"/>
          <w:bCs w:val="0"/>
          <w:sz w:val="28"/>
          <w:szCs w:val="28"/>
          <w:lang w:val="en-US" w:eastAsia="zh-CN"/>
        </w:rPr>
      </w:pPr>
      <w:r>
        <w:rPr>
          <w:rFonts w:hint="eastAsia" w:ascii="宋体" w:hAnsi="宋体" w:cs="宋体"/>
          <w:kern w:val="0"/>
          <w:sz w:val="28"/>
          <w:szCs w:val="28"/>
          <w:lang w:val="en-US" w:eastAsia="zh-CN"/>
        </w:rPr>
        <w:t xml:space="preserve">                           </w:t>
      </w:r>
      <w:r>
        <w:rPr>
          <w:rFonts w:hint="eastAsia" w:ascii="宋体" w:hAnsi="宋体" w:eastAsia="宋体" w:cs="宋体"/>
          <w:b w:val="0"/>
          <w:bCs w:val="0"/>
          <w:sz w:val="28"/>
          <w:szCs w:val="28"/>
          <w:lang w:val="en-US" w:eastAsia="zh-CN"/>
        </w:rPr>
        <w:t>东兴第二工作站项目工程项目经理部</w:t>
      </w:r>
    </w:p>
    <w:p>
      <w:pPr>
        <w:widowControl/>
        <w:numPr>
          <w:ilvl w:val="0"/>
          <w:numId w:val="0"/>
        </w:numPr>
        <w:spacing w:line="520" w:lineRule="exact"/>
        <w:ind w:firstLine="6720" w:firstLineChars="2400"/>
        <w:jc w:val="both"/>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2023年</w:t>
      </w:r>
      <w:r>
        <w:rPr>
          <w:rFonts w:hint="eastAsia" w:ascii="宋体" w:hAnsi="宋体" w:cs="宋体"/>
          <w:kern w:val="0"/>
          <w:sz w:val="28"/>
          <w:szCs w:val="28"/>
          <w:lang w:val="en-US" w:eastAsia="zh-CN"/>
        </w:rPr>
        <w:t>9</w:t>
      </w:r>
      <w:r>
        <w:rPr>
          <w:rFonts w:hint="eastAsia" w:ascii="宋体" w:hAnsi="宋体" w:eastAsia="宋体" w:cs="宋体"/>
          <w:kern w:val="0"/>
          <w:sz w:val="28"/>
          <w:szCs w:val="28"/>
          <w:lang w:val="en-US" w:eastAsia="zh-CN"/>
        </w:rPr>
        <w:t>月</w:t>
      </w:r>
      <w:r>
        <w:rPr>
          <w:rFonts w:hint="eastAsia" w:ascii="宋体" w:hAnsi="宋体" w:cs="宋体"/>
          <w:kern w:val="0"/>
          <w:sz w:val="28"/>
          <w:szCs w:val="28"/>
          <w:lang w:val="en-US" w:eastAsia="zh-CN"/>
        </w:rPr>
        <w:t>19</w:t>
      </w:r>
      <w:r>
        <w:rPr>
          <w:rFonts w:hint="eastAsia" w:ascii="宋体" w:hAnsi="宋体" w:eastAsia="宋体" w:cs="宋体"/>
          <w:kern w:val="0"/>
          <w:sz w:val="28"/>
          <w:szCs w:val="28"/>
          <w:lang w:val="en-US" w:eastAsia="zh-CN"/>
        </w:rPr>
        <w:t>日</w:t>
      </w:r>
    </w:p>
    <w:p>
      <w:pPr>
        <w:rPr>
          <w:rFonts w:hint="eastAsia" w:ascii="宋体" w:hAnsi="宋体" w:eastAsia="宋体" w:cs="宋体"/>
          <w:sz w:val="28"/>
          <w:szCs w:val="28"/>
        </w:rPr>
      </w:pPr>
    </w:p>
    <w:p>
      <w:pPr>
        <w:rPr>
          <w:rFonts w:hint="eastAsia" w:ascii="宋体" w:hAnsi="宋体" w:eastAsia="宋体" w:cs="宋体"/>
          <w:sz w:val="28"/>
          <w:szCs w:val="28"/>
        </w:rPr>
        <w:sectPr>
          <w:headerReference r:id="rId3" w:type="default"/>
          <w:footerReference r:id="rId4" w:type="default"/>
          <w:footerReference r:id="rId5" w:type="even"/>
          <w:pgSz w:w="11906" w:h="16838"/>
          <w:pgMar w:top="1134" w:right="850" w:bottom="1134" w:left="850" w:header="851" w:footer="992" w:gutter="0"/>
          <w:cols w:space="425" w:num="1"/>
          <w:docGrid w:type="lines" w:linePitch="312" w:charSpace="0"/>
        </w:sectPr>
      </w:pPr>
    </w:p>
    <w:tbl>
      <w:tblPr>
        <w:tblStyle w:val="8"/>
        <w:tblW w:w="151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56"/>
        <w:gridCol w:w="1842"/>
        <w:gridCol w:w="1869"/>
        <w:gridCol w:w="1947"/>
        <w:gridCol w:w="1003"/>
        <w:gridCol w:w="1107"/>
        <w:gridCol w:w="1235"/>
        <w:gridCol w:w="1235"/>
        <w:gridCol w:w="2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2588"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附件1</w:t>
            </w:r>
          </w:p>
        </w:tc>
        <w:tc>
          <w:tcPr>
            <w:tcW w:w="185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7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5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0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1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4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24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0" w:type="auto"/>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五金材料采购</w:t>
            </w:r>
            <w:r>
              <w:rPr>
                <w:rFonts w:hint="eastAsia" w:ascii="宋体" w:hAnsi="宋体" w:cs="宋体"/>
                <w:b/>
                <w:i w:val="0"/>
                <w:color w:val="000000"/>
                <w:kern w:val="0"/>
                <w:sz w:val="36"/>
                <w:szCs w:val="36"/>
                <w:u w:val="none"/>
                <w:lang w:val="en-US" w:eastAsia="zh-CN" w:bidi="ar"/>
              </w:rPr>
              <w:t>询价</w:t>
            </w:r>
            <w:r>
              <w:rPr>
                <w:rFonts w:hint="eastAsia" w:ascii="宋体" w:hAnsi="宋体" w:eastAsia="宋体" w:cs="宋体"/>
                <w:b/>
                <w:i w:val="0"/>
                <w:color w:val="000000"/>
                <w:kern w:val="0"/>
                <w:sz w:val="36"/>
                <w:szCs w:val="36"/>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项目名称：东兴第二工作站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物料名称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物料描述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品牌/型号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采购量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价格（元）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给水管</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PVC50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根</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240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4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管道及配件品牌参考雄塑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直接</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PVC50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220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4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90度弯头</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PVC50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4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水表</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PVC50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4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三通</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PVC50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4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给水管变径接头</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PVC50变25</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4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球阀</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PVC50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4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球阀</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PVC25</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4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铝芯电缆电缆</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4*120+1*50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米</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564</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电缆品牌参考阳工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0</w:t>
            </w:r>
          </w:p>
        </w:tc>
        <w:tc>
          <w:tcPr>
            <w:tcW w:w="1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铜铝接线鼻子</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Ф</w:t>
            </w:r>
            <w:r>
              <w:rPr>
                <w:rFonts w:hint="eastAsia" w:ascii="仿宋_GB2312" w:hAnsi="宋体" w:eastAsia="仿宋_GB2312" w:cs="仿宋_GB2312"/>
                <w:i w:val="0"/>
                <w:color w:val="000000"/>
                <w:kern w:val="0"/>
                <w:sz w:val="24"/>
                <w:szCs w:val="24"/>
                <w:u w:val="none"/>
                <w:lang w:val="en-US" w:eastAsia="zh-CN" w:bidi="ar"/>
              </w:rPr>
              <w:t>120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16</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w:t>
            </w:r>
          </w:p>
        </w:tc>
        <w:tc>
          <w:tcPr>
            <w:tcW w:w="1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铜铝接线鼻子</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Ф</w:t>
            </w:r>
            <w:r>
              <w:rPr>
                <w:rFonts w:hint="eastAsia" w:ascii="仿宋_GB2312" w:hAnsi="宋体" w:eastAsia="仿宋_GB2312" w:cs="仿宋_GB2312"/>
                <w:i w:val="0"/>
                <w:color w:val="000000"/>
                <w:kern w:val="0"/>
                <w:sz w:val="24"/>
                <w:szCs w:val="24"/>
                <w:u w:val="none"/>
                <w:lang w:val="en-US" w:eastAsia="zh-CN" w:bidi="ar"/>
              </w:rPr>
              <w:t>50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w:t>
            </w:r>
          </w:p>
        </w:tc>
        <w:tc>
          <w:tcPr>
            <w:tcW w:w="1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电工胶布</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红、绿、黄、蓝、双色（各2卷）</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卷</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w:t>
            </w:r>
          </w:p>
        </w:tc>
        <w:tc>
          <w:tcPr>
            <w:tcW w:w="1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塑盒断路器</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CDM3T-400A</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w:t>
            </w:r>
          </w:p>
        </w:tc>
        <w:tc>
          <w:tcPr>
            <w:tcW w:w="1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电缆套管</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PVC110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根</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符合国家标准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w:t>
            </w:r>
          </w:p>
        </w:tc>
        <w:tc>
          <w:tcPr>
            <w:tcW w:w="1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电缆套管直接</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PVC110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个</w:t>
            </w:r>
          </w:p>
        </w:tc>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管道品牌参考雄塑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15122" w:type="dxa"/>
            <w:gridSpan w:val="9"/>
            <w:tcBorders>
              <w:top w:val="single" w:color="000000" w:sz="4" w:space="0"/>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单价说明：1、报价包含材料、装卸车、运输、税（增值税专用发票3%或相关税率）等费用等一切费用，结算单价在协议执行期内为固定价。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2、所</w:t>
            </w:r>
            <w:r>
              <w:rPr>
                <w:rFonts w:hint="eastAsia" w:ascii="宋体" w:hAnsi="宋体" w:cs="宋体"/>
                <w:i w:val="0"/>
                <w:color w:val="000000"/>
                <w:kern w:val="0"/>
                <w:sz w:val="22"/>
                <w:szCs w:val="22"/>
                <w:u w:val="none"/>
                <w:lang w:val="en-US" w:eastAsia="zh-CN" w:bidi="ar"/>
              </w:rPr>
              <w:t>报</w:t>
            </w:r>
            <w:r>
              <w:rPr>
                <w:rFonts w:hint="eastAsia" w:ascii="宋体" w:hAnsi="宋体" w:eastAsia="宋体" w:cs="宋体"/>
                <w:i w:val="0"/>
                <w:color w:val="000000"/>
                <w:kern w:val="0"/>
                <w:sz w:val="22"/>
                <w:szCs w:val="22"/>
                <w:u w:val="none"/>
                <w:lang w:val="en-US" w:eastAsia="zh-CN" w:bidi="ar"/>
              </w:rPr>
              <w:t>材料注明品牌或型号。  3、以上材料根据项目部进度需求分二个批次进场，如超二个批次进场双方协商增加运输费。</w:t>
            </w:r>
          </w:p>
        </w:tc>
      </w:tr>
    </w:tbl>
    <w:p>
      <w:pPr>
        <w:pStyle w:val="2"/>
        <w:ind w:left="0" w:leftChars="0" w:firstLine="0" w:firstLineChars="0"/>
        <w:rPr>
          <w:rFonts w:hint="eastAsia"/>
        </w:rPr>
      </w:pPr>
    </w:p>
    <w:sectPr>
      <w:pgSz w:w="16838" w:h="11906" w:orient="landscape"/>
      <w:pgMar w:top="850" w:right="873" w:bottom="850" w:left="87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eastAsia" w:ascii="宋体" w:hAnsi="宋体"/>
      </w:rPr>
    </w:pPr>
    <w:r>
      <w:rPr>
        <w:rFonts w:hint="eastAsia" w:ascii="宋体" w:hAnsi="宋体"/>
      </w:rPr>
      <w:t>广西路建集团</w:t>
    </w:r>
    <w:r>
      <w:rPr>
        <w:rFonts w:hint="eastAsia" w:ascii="宋体" w:hAnsi="宋体"/>
        <w:lang w:val="en-US" w:eastAsia="zh-CN"/>
      </w:rPr>
      <w:t>建筑工程</w:t>
    </w:r>
    <w:r>
      <w:rPr>
        <w:rFonts w:hint="eastAsia" w:ascii="宋体" w:hAnsi="宋体"/>
      </w:rPr>
      <w:t>有限公司采购询价</w:t>
    </w:r>
    <w:r>
      <w:rPr>
        <w:rFonts w:hint="eastAsia" w:ascii="宋体" w:hAnsi="宋体"/>
        <w:lang w:val="en-US" w:eastAsia="zh-CN"/>
      </w:rPr>
      <w:t>文件</w:t>
    </w:r>
    <w:r>
      <w:rPr>
        <w:rFonts w:hint="eastAsia" w:ascii="宋体" w:hAnsi="宋体"/>
      </w:rPr>
      <w:t xml:space="preserve"> </w:t>
    </w:r>
    <w:r>
      <w:rPr>
        <w:rFonts w:hint="eastAsia" w:ascii="宋体" w:hAnsi="宋体"/>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662469"/>
    <w:multiLevelType w:val="singleLevel"/>
    <w:tmpl w:val="EC662469"/>
    <w:lvl w:ilvl="0" w:tentative="0">
      <w:start w:val="1"/>
      <w:numFmt w:val="chineseCounting"/>
      <w:suff w:val="nothing"/>
      <w:lvlText w:val="%1、"/>
      <w:lvlJc w:val="left"/>
      <w:rPr>
        <w:rFonts w:hint="eastAsia"/>
      </w:rPr>
    </w:lvl>
  </w:abstractNum>
  <w:abstractNum w:abstractNumId="1">
    <w:nsid w:val="23FC5CF5"/>
    <w:multiLevelType w:val="singleLevel"/>
    <w:tmpl w:val="23FC5CF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jYTMyZDc0OTllOWNmYWYxZjE1ODhkMTFhY2ZkZTUifQ=="/>
  </w:docVars>
  <w:rsids>
    <w:rsidRoot w:val="00000000"/>
    <w:rsid w:val="00222D88"/>
    <w:rsid w:val="004371E3"/>
    <w:rsid w:val="00824413"/>
    <w:rsid w:val="023364E3"/>
    <w:rsid w:val="044A3E16"/>
    <w:rsid w:val="058C4449"/>
    <w:rsid w:val="06102753"/>
    <w:rsid w:val="06C91C04"/>
    <w:rsid w:val="07621638"/>
    <w:rsid w:val="095313E4"/>
    <w:rsid w:val="0ACB5587"/>
    <w:rsid w:val="0B213150"/>
    <w:rsid w:val="0B8D308D"/>
    <w:rsid w:val="0B9F5788"/>
    <w:rsid w:val="0C491479"/>
    <w:rsid w:val="0E42530B"/>
    <w:rsid w:val="0EAA673B"/>
    <w:rsid w:val="0FC14195"/>
    <w:rsid w:val="0FDF2586"/>
    <w:rsid w:val="104B76D0"/>
    <w:rsid w:val="10854B2A"/>
    <w:rsid w:val="10CC2C80"/>
    <w:rsid w:val="12056AED"/>
    <w:rsid w:val="12C6072A"/>
    <w:rsid w:val="13451887"/>
    <w:rsid w:val="14795545"/>
    <w:rsid w:val="15A20C0C"/>
    <w:rsid w:val="165B6AF3"/>
    <w:rsid w:val="175D0648"/>
    <w:rsid w:val="17A7200E"/>
    <w:rsid w:val="187A0739"/>
    <w:rsid w:val="1915196E"/>
    <w:rsid w:val="196D0F81"/>
    <w:rsid w:val="1D0368C4"/>
    <w:rsid w:val="1E303742"/>
    <w:rsid w:val="1F1E13AB"/>
    <w:rsid w:val="1F4F44B0"/>
    <w:rsid w:val="20E0425E"/>
    <w:rsid w:val="213A7583"/>
    <w:rsid w:val="218A079A"/>
    <w:rsid w:val="21FD653E"/>
    <w:rsid w:val="226548D2"/>
    <w:rsid w:val="227727F1"/>
    <w:rsid w:val="24214A04"/>
    <w:rsid w:val="245C6464"/>
    <w:rsid w:val="247679F5"/>
    <w:rsid w:val="24E62E8A"/>
    <w:rsid w:val="25146F72"/>
    <w:rsid w:val="25777A8C"/>
    <w:rsid w:val="25975B9D"/>
    <w:rsid w:val="26F11021"/>
    <w:rsid w:val="2843174D"/>
    <w:rsid w:val="286B57C7"/>
    <w:rsid w:val="2B394967"/>
    <w:rsid w:val="2C5B5163"/>
    <w:rsid w:val="2C873C85"/>
    <w:rsid w:val="2D7778EB"/>
    <w:rsid w:val="2DC560BB"/>
    <w:rsid w:val="2DD1000B"/>
    <w:rsid w:val="2DD8318D"/>
    <w:rsid w:val="2E184591"/>
    <w:rsid w:val="2F2656AB"/>
    <w:rsid w:val="2FCC394B"/>
    <w:rsid w:val="30661D72"/>
    <w:rsid w:val="327973F6"/>
    <w:rsid w:val="33743E39"/>
    <w:rsid w:val="33CE050E"/>
    <w:rsid w:val="358952B5"/>
    <w:rsid w:val="36CC10CB"/>
    <w:rsid w:val="371F24E3"/>
    <w:rsid w:val="37955CEE"/>
    <w:rsid w:val="37A92638"/>
    <w:rsid w:val="389D0930"/>
    <w:rsid w:val="38C2621E"/>
    <w:rsid w:val="39671ABC"/>
    <w:rsid w:val="39B4177D"/>
    <w:rsid w:val="3A5F0185"/>
    <w:rsid w:val="3B562EC2"/>
    <w:rsid w:val="3B6636C4"/>
    <w:rsid w:val="3B757F15"/>
    <w:rsid w:val="3CAB502B"/>
    <w:rsid w:val="3D793C49"/>
    <w:rsid w:val="3D9E0520"/>
    <w:rsid w:val="3DA506B2"/>
    <w:rsid w:val="3EE0773B"/>
    <w:rsid w:val="3FB66124"/>
    <w:rsid w:val="405F53BF"/>
    <w:rsid w:val="41146BC6"/>
    <w:rsid w:val="419868AD"/>
    <w:rsid w:val="41BB6BA2"/>
    <w:rsid w:val="42206844"/>
    <w:rsid w:val="422B0C99"/>
    <w:rsid w:val="423527E3"/>
    <w:rsid w:val="42BE66EE"/>
    <w:rsid w:val="43125066"/>
    <w:rsid w:val="438D34E4"/>
    <w:rsid w:val="43C27FF8"/>
    <w:rsid w:val="43F65807"/>
    <w:rsid w:val="442A3834"/>
    <w:rsid w:val="44C46F89"/>
    <w:rsid w:val="44F00DB3"/>
    <w:rsid w:val="455C5313"/>
    <w:rsid w:val="45BB63CF"/>
    <w:rsid w:val="47A366F8"/>
    <w:rsid w:val="48AF60BF"/>
    <w:rsid w:val="496A5906"/>
    <w:rsid w:val="4B4A295D"/>
    <w:rsid w:val="4C3B2859"/>
    <w:rsid w:val="4C9855FD"/>
    <w:rsid w:val="4CF72D77"/>
    <w:rsid w:val="4D8E3082"/>
    <w:rsid w:val="4FC40D3F"/>
    <w:rsid w:val="503039F9"/>
    <w:rsid w:val="50676754"/>
    <w:rsid w:val="51084D4D"/>
    <w:rsid w:val="514C625B"/>
    <w:rsid w:val="51656219"/>
    <w:rsid w:val="52346DAB"/>
    <w:rsid w:val="52473B6C"/>
    <w:rsid w:val="52903BCD"/>
    <w:rsid w:val="52BD5368"/>
    <w:rsid w:val="53FF7C6F"/>
    <w:rsid w:val="56395BE6"/>
    <w:rsid w:val="569F2DC9"/>
    <w:rsid w:val="57071E3E"/>
    <w:rsid w:val="57183015"/>
    <w:rsid w:val="58F10B7B"/>
    <w:rsid w:val="58F45564"/>
    <w:rsid w:val="5900026F"/>
    <w:rsid w:val="596933EF"/>
    <w:rsid w:val="59A0698E"/>
    <w:rsid w:val="5BA54641"/>
    <w:rsid w:val="5C433B5F"/>
    <w:rsid w:val="5D267C80"/>
    <w:rsid w:val="5D582A2F"/>
    <w:rsid w:val="5D8A795A"/>
    <w:rsid w:val="5E2D4E6D"/>
    <w:rsid w:val="5E7C2B0D"/>
    <w:rsid w:val="5F26303A"/>
    <w:rsid w:val="5F4C5534"/>
    <w:rsid w:val="5F746230"/>
    <w:rsid w:val="607E31F6"/>
    <w:rsid w:val="60A1428D"/>
    <w:rsid w:val="60CB2965"/>
    <w:rsid w:val="6195595D"/>
    <w:rsid w:val="632B472A"/>
    <w:rsid w:val="6367193E"/>
    <w:rsid w:val="639D0540"/>
    <w:rsid w:val="63A907E6"/>
    <w:rsid w:val="63DD683C"/>
    <w:rsid w:val="650B549F"/>
    <w:rsid w:val="65747DA0"/>
    <w:rsid w:val="673F5C8E"/>
    <w:rsid w:val="675045DA"/>
    <w:rsid w:val="67CA6ADF"/>
    <w:rsid w:val="686960C7"/>
    <w:rsid w:val="68965813"/>
    <w:rsid w:val="6898326D"/>
    <w:rsid w:val="68B97875"/>
    <w:rsid w:val="68BB5F1B"/>
    <w:rsid w:val="6960421B"/>
    <w:rsid w:val="69DF4116"/>
    <w:rsid w:val="6A70189A"/>
    <w:rsid w:val="6B4F44A6"/>
    <w:rsid w:val="6BB547CA"/>
    <w:rsid w:val="6C0A31BB"/>
    <w:rsid w:val="6C240657"/>
    <w:rsid w:val="6D3C6DDC"/>
    <w:rsid w:val="6DE56487"/>
    <w:rsid w:val="6EB46942"/>
    <w:rsid w:val="6F2528FB"/>
    <w:rsid w:val="702C0FDC"/>
    <w:rsid w:val="702E77DF"/>
    <w:rsid w:val="7062062F"/>
    <w:rsid w:val="70FC4D97"/>
    <w:rsid w:val="71572CC5"/>
    <w:rsid w:val="736E5BD1"/>
    <w:rsid w:val="73B13C89"/>
    <w:rsid w:val="749E4085"/>
    <w:rsid w:val="74BC186A"/>
    <w:rsid w:val="75267ABE"/>
    <w:rsid w:val="75673046"/>
    <w:rsid w:val="759C23AE"/>
    <w:rsid w:val="75B74B05"/>
    <w:rsid w:val="75BC66D9"/>
    <w:rsid w:val="76597A65"/>
    <w:rsid w:val="766B2F5B"/>
    <w:rsid w:val="783E6F7E"/>
    <w:rsid w:val="784B1637"/>
    <w:rsid w:val="7A445AB7"/>
    <w:rsid w:val="7A7E12ED"/>
    <w:rsid w:val="7B7326FB"/>
    <w:rsid w:val="7BF34A73"/>
    <w:rsid w:val="7C1B5E4D"/>
    <w:rsid w:val="7CA85A4F"/>
    <w:rsid w:val="7D30250F"/>
    <w:rsid w:val="7DB03810"/>
    <w:rsid w:val="7E712C55"/>
    <w:rsid w:val="7F2746AF"/>
    <w:rsid w:val="7F760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2"/>
      <w:ind w:left="601" w:firstLine="200" w:firstLineChars="200"/>
    </w:pPr>
    <w:rPr>
      <w:rFonts w:ascii="楷体" w:eastAsia="楷体" w:cs="楷体"/>
      <w:sz w:val="24"/>
      <w:lang w:val="zh-CN" w:eastAsia="zh-CN" w:bidi="zh-CN"/>
    </w:rPr>
  </w:style>
  <w:style w:type="paragraph" w:styleId="3">
    <w:name w:val="toc 5"/>
    <w:basedOn w:val="1"/>
    <w:next w:val="1"/>
    <w:qFormat/>
    <w:uiPriority w:val="0"/>
    <w:pPr>
      <w:ind w:left="1120"/>
      <w:jc w:val="left"/>
    </w:pPr>
    <w:rPr>
      <w:sz w:val="18"/>
      <w:szCs w:val="18"/>
    </w:rPr>
  </w:style>
  <w:style w:type="paragraph" w:styleId="4">
    <w:name w:val="Plain Text"/>
    <w:basedOn w:val="1"/>
    <w:qFormat/>
    <w:uiPriority w:val="0"/>
    <w:pPr>
      <w:jc w:val="both"/>
    </w:pPr>
    <w:rPr>
      <w:sz w:val="20"/>
      <w:szCs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font11"/>
    <w:basedOn w:val="10"/>
    <w:qFormat/>
    <w:uiPriority w:val="0"/>
    <w:rPr>
      <w:rFonts w:hint="eastAsia" w:ascii="宋体" w:hAnsi="宋体" w:eastAsia="宋体" w:cs="宋体"/>
      <w:color w:val="FF0000"/>
      <w:sz w:val="18"/>
      <w:szCs w:val="18"/>
      <w:u w:val="none"/>
    </w:rPr>
  </w:style>
  <w:style w:type="character" w:customStyle="1" w:styleId="13">
    <w:name w:val="font01"/>
    <w:basedOn w:val="10"/>
    <w:qFormat/>
    <w:uiPriority w:val="0"/>
    <w:rPr>
      <w:rFonts w:hint="eastAsia" w:ascii="宋体" w:hAnsi="宋体" w:eastAsia="宋体" w:cs="宋体"/>
      <w:color w:val="FF0000"/>
      <w:sz w:val="18"/>
      <w:szCs w:val="18"/>
      <w:u w:val="single"/>
    </w:rPr>
  </w:style>
  <w:style w:type="character" w:customStyle="1" w:styleId="14">
    <w:name w:val="font21"/>
    <w:basedOn w:val="1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1795</Words>
  <Characters>1980</Characters>
  <Lines>0</Lines>
  <Paragraphs>0</Paragraphs>
  <TotalTime>0</TotalTime>
  <ScaleCrop>false</ScaleCrop>
  <LinksUpToDate>false</LinksUpToDate>
  <CharactersWithSpaces>2183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2021-05-21T07:38:00Z</dcterms:created>
  <dc:creator>fuxiaofeng</dc:creator>
  <cp:lastModifiedBy>Lenovo</cp:lastModifiedBy>
  <dcterms:modified xsi:type="dcterms:W3CDTF">2023-09-19T01:09:30Z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EBFB1BDFA02145C495DD6E9487D39D2A</vt:lpwstr>
  </property>
</Properties>
</file>