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北投观海上城项目2023年9月系列活动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北投观海上城项目2023年9月系列活动</w:t>
      </w:r>
    </w:p>
    <w:p>
      <w:pPr>
        <w:spacing w:line="540" w:lineRule="exact"/>
        <w:rPr>
          <w:rFonts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2"/>
        <w:rPr>
          <w:rFonts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3"/>
        <w:rPr>
          <w:color w:val="auto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5"/>
        <w:jc w:val="center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2023年9月25日</w:t>
      </w:r>
    </w:p>
    <w:p>
      <w:pPr>
        <w:pStyle w:val="5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pStyle w:val="5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北投观海上城项目2023年9月系列活动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询价公告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</w:p>
    <w:p>
      <w:pPr>
        <w:pStyle w:val="7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北投观海上城项目2023年9月系列活动,项目编号：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BTDC-2023-FW8975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一、项目基本情况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项目地点：北海市北海大道延长线35号北投观海上城营销中心。</w:t>
      </w:r>
      <w:bookmarkStart w:id="0" w:name="_GoBack"/>
      <w:bookmarkEnd w:id="0"/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北投观海上城项目2023年9月系列活动。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/>
        </w:rPr>
        <w:t>业主社群月饼DIY活动、黄金周活动等9月系列活动物料采购及活动执行服务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，具体内容详见“十、报价文件 (格式)”中附件1:报价组成清单。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活动时间：2023年9月29日-2023年10月6日（具体以我公司要求为准）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2"/>
          <w:sz w:val="32"/>
          <w:szCs w:val="32"/>
          <w:highlight w:val="none"/>
          <w:u w:val="none"/>
          <w:lang w:val="en-US" w:eastAsia="zh-CN" w:bidi="ar-SA"/>
        </w:rPr>
        <w:t>13,312.12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highlight w:val="none"/>
          <w:lang w:val="en-US" w:eastAsia="zh-CN" w:bidi="ar-SA"/>
        </w:rPr>
        <w:t>元（大写人民币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highlight w:val="none"/>
          <w:lang w:val="en-US" w:eastAsia="zh-CN"/>
        </w:rPr>
        <w:t>壹万叁仟叁佰壹拾贰元壹角贰分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要求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营业资格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活动策划执行等范围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8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8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自2021年9月起在承接过1个1.5万元以上活动类型的业绩（证明资料：以中标通知书或合同关键页复印件并加盖报价人公章）。</w:t>
      </w:r>
    </w:p>
    <w:p>
      <w:pPr>
        <w:pStyle w:val="8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8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北投观海上城项目2023年9月系列活动策划执行服务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、支付方式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、报价要求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领取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北海市北海大道延长线35号北投观海上城营销中心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张晓英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17777918977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</w:p>
    <w:p>
      <w:pPr>
        <w:widowControl/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2023年9月25日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3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color w:val="auto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color w:val="auto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color w:val="auto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color w:val="auto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color w:val="auto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auto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color w:val="auto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color w:val="auto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color w:val="auto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color w:val="auto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color w:val="auto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zh-CN"/>
        </w:rPr>
        <w:t>项目名称：</w:t>
      </w:r>
      <w:r>
        <w:rPr>
          <w:rFonts w:hint="eastAsia" w:ascii="宋体" w:hAnsi="宋体" w:eastAsia="宋体" w:cs="Times New Roman"/>
          <w:bCs w:val="0"/>
          <w:color w:val="auto"/>
          <w:sz w:val="32"/>
          <w:szCs w:val="32"/>
          <w:highlight w:val="none"/>
          <w:lang w:val="zh-CN" w:eastAsia="zh-CN"/>
        </w:rPr>
        <w:t>北投观海上城项目2023年9月系列活动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none"/>
          <w:lang w:val="zh-CN"/>
        </w:rPr>
        <w:t xml:space="preserve">            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zh-CN"/>
        </w:rPr>
        <w:t>项目编号：BTDC-2023-FW8975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  <w:t xml:space="preserve">      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auto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8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913"/>
        <w:gridCol w:w="1717"/>
        <w:gridCol w:w="866"/>
        <w:gridCol w:w="917"/>
        <w:gridCol w:w="1112"/>
        <w:gridCol w:w="132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喷绘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3*4*1m,黑底喷绘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画架KT板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对DIY、转发有礼进行说明；尺寸60x90cm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中秋堆头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PVC背景+异型PVC装饰堆头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长条桌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120*60*75长条桌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红色绒面桌布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120*60*75桌布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一次性白色桌布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大月饼制作材料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大月饼材料、500g/份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大月饼制作工具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工具、烤箱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月饼师傅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月饼制作师傅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大月饼包装盒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500g装盒子+500g月饼软包装袋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散装大月饼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1000g装大月饼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茶歇水果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哈密瓜、柑橘等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茶歇装饰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月兔摆件+干花草装饰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桌面小国旗摆件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国庆氛围桌摆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北海烤海鸭蛋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10个/盒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1000毫安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B(C-A):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auto"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bCs w:val="0"/>
          <w:color w:val="auto"/>
          <w:sz w:val="28"/>
          <w:szCs w:val="28"/>
          <w:highlight w:val="none"/>
          <w:lang w:val="en-US" w:eastAsia="zh-CN"/>
        </w:rPr>
        <w:t>北投观海上城项目2023年9月系列活动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color w:val="auto"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3"/>
        <w:rPr>
          <w:rFonts w:hint="default"/>
          <w:color w:val="auto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rPr>
          <w:color w:val="auto"/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OThiZmM3NTkyOGM5MGI2Mzk0ZjYyOTQ1YjU2YTQ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0ED13BA2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3CA3782"/>
    <w:rsid w:val="34AE76F7"/>
    <w:rsid w:val="350473F1"/>
    <w:rsid w:val="353A4937"/>
    <w:rsid w:val="37184E79"/>
    <w:rsid w:val="381D1409"/>
    <w:rsid w:val="38B14236"/>
    <w:rsid w:val="3A3A74A3"/>
    <w:rsid w:val="3A6569CE"/>
    <w:rsid w:val="3A843062"/>
    <w:rsid w:val="3A947029"/>
    <w:rsid w:val="3D031AB2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5E526F39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4F65DD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68455D1"/>
    <w:rsid w:val="778057BE"/>
    <w:rsid w:val="779B278A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_Style 50"/>
    <w:next w:val="4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5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7"/>
    <w:unhideWhenUsed/>
    <w:qFormat/>
    <w:uiPriority w:val="99"/>
    <w:pPr>
      <w:spacing w:line="360" w:lineRule="auto"/>
    </w:pPr>
    <w:rPr>
      <w:b/>
      <w:bCs/>
      <w:sz w:val="28"/>
    </w:rPr>
  </w:style>
  <w:style w:type="character" w:customStyle="1" w:styleId="14">
    <w:name w:val="正文文本 字符"/>
    <w:basedOn w:val="13"/>
    <w:link w:val="7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9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2464</Words>
  <Characters>2779</Characters>
  <Lines>37</Lines>
  <Paragraphs>53</Paragraphs>
  <TotalTime>7</TotalTime>
  <ScaleCrop>false</ScaleCrop>
  <LinksUpToDate>false</LinksUpToDate>
  <CharactersWithSpaces>3409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张晓英</cp:lastModifiedBy>
  <dcterms:modified xsi:type="dcterms:W3CDTF">2023-09-25T10:26:58Z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6FCA92DC4F6447D785BB249CC3285CA1_13</vt:lpwstr>
  </property>
</Properties>
</file>