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val="en-US" w:eastAsia="zh-CN"/>
        </w:rPr>
        <w:t>广西路建工程集团有限公司那平高速房建项目交安材料及劳动防 护用品采购询价公告</w:t>
      </w:r>
    </w:p>
    <w:p>
      <w:pPr>
        <w:jc w:val="cente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因工程施工需要，广西路建工程集团有限公司</w:t>
      </w:r>
      <w:r>
        <w:rPr>
          <w:rFonts w:hint="eastAsia" w:ascii="宋体" w:hAnsi="宋体" w:eastAsia="宋体" w:cs="宋体"/>
          <w:i w:val="0"/>
          <w:iCs w:val="0"/>
          <w:caps w:val="0"/>
          <w:color w:val="444444"/>
          <w:spacing w:val="0"/>
          <w:sz w:val="24"/>
          <w:szCs w:val="24"/>
          <w:shd w:val="clear" w:fill="FFFFFF"/>
          <w:lang w:val="en-US" w:eastAsia="zh-CN"/>
        </w:rPr>
        <w:t>那平高速房建项目决定对施工用交安材料及劳动防护用品</w:t>
      </w:r>
      <w:r>
        <w:rPr>
          <w:rFonts w:hint="eastAsia" w:ascii="宋体" w:hAnsi="宋体" w:eastAsia="宋体" w:cs="宋体"/>
          <w:i w:val="0"/>
          <w:iCs w:val="0"/>
          <w:caps w:val="0"/>
          <w:color w:val="444444"/>
          <w:spacing w:val="0"/>
          <w:sz w:val="24"/>
          <w:szCs w:val="24"/>
          <w:shd w:val="clear" w:fill="FFFFFF"/>
        </w:rPr>
        <w:t>采购进行</w:t>
      </w:r>
      <w:r>
        <w:rPr>
          <w:rFonts w:hint="eastAsia" w:ascii="宋体" w:hAnsi="宋体" w:eastAsia="宋体" w:cs="宋体"/>
          <w:i w:val="0"/>
          <w:iCs w:val="0"/>
          <w:caps w:val="0"/>
          <w:color w:val="444444"/>
          <w:spacing w:val="0"/>
          <w:sz w:val="24"/>
          <w:szCs w:val="24"/>
          <w:shd w:val="clear" w:fill="FFFFFF"/>
          <w:lang w:val="en-US" w:eastAsia="zh-CN"/>
        </w:rPr>
        <w:t>询价</w:t>
      </w:r>
      <w:r>
        <w:rPr>
          <w:rFonts w:hint="eastAsia" w:ascii="宋体" w:hAnsi="宋体" w:eastAsia="宋体" w:cs="宋体"/>
          <w:i w:val="0"/>
          <w:iCs w:val="0"/>
          <w:caps w:val="0"/>
          <w:color w:val="444444"/>
          <w:spacing w:val="0"/>
          <w:sz w:val="24"/>
          <w:szCs w:val="24"/>
          <w:shd w:val="clear" w:fill="FFFFFF"/>
        </w:rPr>
        <w:t>，</w:t>
      </w:r>
      <w:r>
        <w:rPr>
          <w:rFonts w:hint="eastAsia" w:ascii="宋体" w:hAnsi="宋体" w:eastAsia="宋体" w:cs="宋体"/>
          <w:i w:val="0"/>
          <w:iCs w:val="0"/>
          <w:caps w:val="0"/>
          <w:color w:val="444444"/>
          <w:spacing w:val="0"/>
          <w:sz w:val="24"/>
          <w:szCs w:val="24"/>
          <w:shd w:val="clear" w:fill="FFFFFF"/>
          <w:lang w:val="en-US" w:eastAsia="zh-CN"/>
        </w:rPr>
        <w:t>现将</w:t>
      </w:r>
      <w:r>
        <w:rPr>
          <w:rFonts w:hint="eastAsia" w:ascii="宋体" w:hAnsi="宋体" w:eastAsia="宋体" w:cs="宋体"/>
          <w:i w:val="0"/>
          <w:iCs w:val="0"/>
          <w:caps w:val="0"/>
          <w:color w:val="444444"/>
          <w:spacing w:val="0"/>
          <w:sz w:val="24"/>
          <w:szCs w:val="24"/>
          <w:shd w:val="clear" w:fill="FFFFFF"/>
        </w:rPr>
        <w:t>有关</w:t>
      </w:r>
      <w:r>
        <w:rPr>
          <w:rFonts w:hint="eastAsia" w:ascii="宋体" w:hAnsi="宋体" w:eastAsia="宋体" w:cs="宋体"/>
          <w:i w:val="0"/>
          <w:iCs w:val="0"/>
          <w:caps w:val="0"/>
          <w:color w:val="444444"/>
          <w:spacing w:val="0"/>
          <w:sz w:val="24"/>
          <w:szCs w:val="24"/>
          <w:shd w:val="clear" w:fill="FFFFFF"/>
          <w:lang w:val="en-US" w:eastAsia="zh-CN"/>
        </w:rPr>
        <w:t>事宜</w:t>
      </w:r>
      <w:r>
        <w:rPr>
          <w:rFonts w:hint="eastAsia" w:ascii="宋体" w:hAnsi="宋体" w:eastAsia="宋体" w:cs="宋体"/>
          <w:i w:val="0"/>
          <w:iCs w:val="0"/>
          <w:caps w:val="0"/>
          <w:color w:val="444444"/>
          <w:spacing w:val="0"/>
          <w:sz w:val="24"/>
          <w:szCs w:val="24"/>
          <w:shd w:val="clear" w:fill="FFFFFF"/>
        </w:rPr>
        <w:t>通告如下：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kern w:val="2"/>
          <w:sz w:val="24"/>
          <w:szCs w:val="24"/>
          <w:shd w:val="clear" w:fill="FFFFFF"/>
          <w:lang w:val="en-US" w:eastAsia="zh-CN" w:bidi="ar-SA"/>
        </w:rPr>
        <w:t>一、</w:t>
      </w:r>
      <w:r>
        <w:rPr>
          <w:rFonts w:hint="eastAsia" w:ascii="宋体" w:hAnsi="宋体" w:eastAsia="宋体" w:cs="宋体"/>
          <w:i w:val="0"/>
          <w:iCs w:val="0"/>
          <w:caps w:val="0"/>
          <w:color w:val="444444"/>
          <w:spacing w:val="0"/>
          <w:sz w:val="24"/>
          <w:szCs w:val="24"/>
          <w:shd w:val="clear" w:fill="FFFFFF"/>
          <w:lang w:val="en-US" w:eastAsia="zh-CN"/>
        </w:rPr>
        <w:t>采购范围</w:t>
      </w:r>
    </w:p>
    <w:tbl>
      <w:tblPr>
        <w:tblStyle w:val="4"/>
        <w:tblW w:w="10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2"/>
        <w:gridCol w:w="1981"/>
        <w:gridCol w:w="1907"/>
        <w:gridCol w:w="2175"/>
        <w:gridCol w:w="750"/>
        <w:gridCol w:w="84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序号</w:t>
            </w:r>
          </w:p>
        </w:tc>
        <w:tc>
          <w:tcPr>
            <w:tcW w:w="1981"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材料名称</w:t>
            </w:r>
          </w:p>
        </w:tc>
        <w:tc>
          <w:tcPr>
            <w:tcW w:w="1907"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规格型号</w:t>
            </w:r>
          </w:p>
        </w:tc>
        <w:tc>
          <w:tcPr>
            <w:tcW w:w="217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物料描述</w:t>
            </w:r>
          </w:p>
        </w:tc>
        <w:tc>
          <w:tcPr>
            <w:tcW w:w="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i w:val="0"/>
                <w:iCs w:val="0"/>
                <w:caps w:val="0"/>
                <w:color w:val="444444"/>
                <w:spacing w:val="0"/>
                <w:kern w:val="2"/>
                <w:sz w:val="24"/>
                <w:szCs w:val="24"/>
                <w:shd w:val="clear" w:fill="FFFFFF"/>
                <w:vertAlign w:val="baseline"/>
                <w:lang w:val="en-US" w:eastAsia="zh-CN" w:bidi="ar-SA"/>
              </w:rPr>
            </w:pPr>
            <w:r>
              <w:rPr>
                <w:rFonts w:hint="eastAsia" w:ascii="宋体" w:hAnsi="宋体" w:eastAsia="宋体" w:cs="宋体"/>
                <w:i w:val="0"/>
                <w:iCs w:val="0"/>
                <w:caps w:val="0"/>
                <w:color w:val="444444"/>
                <w:spacing w:val="0"/>
                <w:sz w:val="24"/>
                <w:szCs w:val="24"/>
                <w:shd w:val="clear" w:fill="FFFFFF"/>
                <w:vertAlign w:val="baseline"/>
                <w:lang w:val="en-US" w:eastAsia="zh-CN"/>
              </w:rPr>
              <w:t>单位</w:t>
            </w:r>
          </w:p>
        </w:tc>
        <w:tc>
          <w:tcPr>
            <w:tcW w:w="8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aps w:val="0"/>
                <w:color w:val="444444"/>
                <w:spacing w:val="0"/>
                <w:kern w:val="2"/>
                <w:sz w:val="24"/>
                <w:szCs w:val="24"/>
                <w:shd w:val="clear" w:fill="FFFFFF"/>
                <w:vertAlign w:val="baseline"/>
                <w:lang w:val="en-US" w:eastAsia="zh-CN" w:bidi="ar-SA"/>
              </w:rPr>
            </w:pPr>
            <w:r>
              <w:rPr>
                <w:rFonts w:hint="eastAsia" w:ascii="宋体" w:hAnsi="宋体" w:eastAsia="宋体" w:cs="宋体"/>
                <w:i w:val="0"/>
                <w:iCs w:val="0"/>
                <w:caps w:val="0"/>
                <w:color w:val="444444"/>
                <w:spacing w:val="0"/>
                <w:sz w:val="24"/>
                <w:szCs w:val="24"/>
                <w:shd w:val="clear" w:fill="FFFFFF"/>
                <w:vertAlign w:val="baseline"/>
                <w:lang w:val="en-US" w:eastAsia="zh-CN"/>
              </w:rPr>
              <w:t>数量</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安全带</w:t>
            </w:r>
          </w:p>
        </w:tc>
        <w:tc>
          <w:tcPr>
            <w:tcW w:w="1907" w:type="dxa"/>
            <w:vAlign w:val="center"/>
          </w:tcPr>
          <w:p>
            <w:pPr>
              <w:rPr>
                <w:rFonts w:hint="default"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全身式</w:t>
            </w:r>
          </w:p>
        </w:tc>
        <w:tc>
          <w:tcPr>
            <w:tcW w:w="2175"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产品符合GB6095-2009标准，材质为：聚酯，拉伸破断力不低于15KN，带双背带，双开口大钩</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套</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150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安全帽</w:t>
            </w:r>
          </w:p>
        </w:tc>
        <w:tc>
          <w:tcPr>
            <w:tcW w:w="1907"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梅思安-超爱戴</w:t>
            </w:r>
          </w:p>
        </w:tc>
        <w:tc>
          <w:tcPr>
            <w:tcW w:w="2175"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符合GB2811-2007标准，ABS材质，旋钮式帽衬，PE吸汗带</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顶</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反光衣</w:t>
            </w:r>
          </w:p>
        </w:tc>
        <w:tc>
          <w:tcPr>
            <w:tcW w:w="1907"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符合GB20653标准，材质为弹力丝，整体重量不低于200g</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件</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平孟服务区围挡</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2*3，含安装</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平孟服务区围挡安全宣传、驻地宣传</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含喷绘安装</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钢管</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6000*48*1.5</w:t>
            </w: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重量不低于16斤/条，烤红色油漆，贴白色精彩格反光膜，间距为25CM/格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钢管</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1500*48*1.5</w:t>
            </w: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重量不低于4.25斤/条，烤红色油漆，贴白色精彩格反光膜 ，间距为25CM/格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根</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500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8</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扣件</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2.7斤（十字扣）</w:t>
            </w: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活动扣，十字扣，链接扣</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700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9</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Style w:val="6"/>
                <w:rFonts w:hint="eastAsia" w:ascii="仿宋" w:hAnsi="仿宋" w:eastAsia="仿宋" w:cs="仿宋"/>
                <w:sz w:val="24"/>
                <w:szCs w:val="24"/>
                <w:lang w:val="en-US" w:eastAsia="zh-CN" w:bidi="ar"/>
              </w:rPr>
              <w:t>一字扣</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2.7斤（一字扣）</w:t>
            </w: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活动扣，一字扣，链接扣</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500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10</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电缆线支座</w:t>
            </w:r>
          </w:p>
        </w:tc>
        <w:tc>
          <w:tcPr>
            <w:tcW w:w="1907" w:type="dxa"/>
            <w:vAlign w:val="top"/>
          </w:tcPr>
          <w:p>
            <w:pPr>
              <w:jc w:val="center"/>
              <w:rPr>
                <w:rFonts w:hint="eastAsia" w:ascii="仿宋" w:hAnsi="仿宋" w:eastAsia="仿宋" w:cs="仿宋"/>
                <w:i w:val="0"/>
                <w:iCs w:val="0"/>
                <w:color w:val="000000"/>
                <w:kern w:val="0"/>
                <w:sz w:val="24"/>
                <w:szCs w:val="24"/>
                <w:u w:val="none"/>
                <w:lang w:val="en-US" w:eastAsia="zh-CN" w:bidi="ar"/>
              </w:rPr>
            </w:pPr>
          </w:p>
        </w:tc>
        <w:tc>
          <w:tcPr>
            <w:tcW w:w="2175" w:type="dxa"/>
            <w:vAlign w:val="top"/>
          </w:tcPr>
          <w:p>
            <w:pPr>
              <w:jc w:val="center"/>
              <w:rPr>
                <w:rFonts w:hint="eastAsia" w:ascii="仿宋" w:hAnsi="仿宋" w:eastAsia="仿宋" w:cs="仿宋"/>
                <w:i w:val="0"/>
                <w:iCs w:val="0"/>
                <w:color w:val="000000"/>
                <w:kern w:val="0"/>
                <w:sz w:val="24"/>
                <w:szCs w:val="24"/>
                <w:u w:val="none"/>
                <w:lang w:val="en-US" w:eastAsia="zh-CN" w:bidi="ar"/>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11</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水马</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1550*800*450*220cm</w:t>
            </w: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符合GB/T 11115-2009标准，材质：聚乙烯，装水容积：不低于整体容积的90%，重量不低于：12.5kg，不得添加任何矿粉类填充剂 。</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500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安全警示牌</w:t>
            </w:r>
          </w:p>
        </w:tc>
        <w:tc>
          <w:tcPr>
            <w:tcW w:w="1907" w:type="dxa"/>
            <w:vAlign w:val="top"/>
          </w:tcPr>
          <w:p>
            <w:pPr>
              <w:keepNext w:val="0"/>
              <w:keepLines w:val="0"/>
              <w:widowControl/>
              <w:suppressLineNumbers w:val="0"/>
              <w:jc w:val="left"/>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keepNext w:val="0"/>
              <w:keepLines w:val="0"/>
              <w:widowControl/>
              <w:suppressLineNumbers w:val="0"/>
              <w:jc w:val="left"/>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当心坠落、有电危险、注意安全、必须系安全带、禁止停留、安全通道、禁止翻越防护栏</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120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13</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楼层分层带</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卷</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14</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电箱责任贴纸</w:t>
            </w:r>
          </w:p>
        </w:tc>
        <w:tc>
          <w:tcPr>
            <w:tcW w:w="1907" w:type="dxa"/>
            <w:vAlign w:val="top"/>
          </w:tcPr>
          <w:p>
            <w:pPr>
              <w:keepNext w:val="0"/>
              <w:keepLines w:val="0"/>
              <w:widowControl/>
              <w:suppressLineNumbers w:val="0"/>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keepNext w:val="0"/>
              <w:keepLines w:val="0"/>
              <w:widowControl/>
              <w:suppressLineNumbers w:val="0"/>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一级电箱贴5张、二级电箱贴15张，三级40张</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80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消防责任贴</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16</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警示灯</w:t>
            </w:r>
          </w:p>
        </w:tc>
        <w:tc>
          <w:tcPr>
            <w:tcW w:w="1907" w:type="dxa"/>
            <w:vAlign w:val="top"/>
          </w:tcPr>
          <w:p>
            <w:pPr>
              <w:jc w:val="center"/>
              <w:rPr>
                <w:rFonts w:hint="default"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太阳能</w:t>
            </w: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手柄式（可套路锥上</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17</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反光衣雨衣</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300D牛津布</w:t>
            </w: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分体式，含裤子和上衣</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件</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120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18</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雨鞋</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双</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120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19</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踢脚板</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尺寸为1500*200mm，黑黄相间，间距为200mm</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路锥</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H900-4.5kg</w:t>
            </w: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符合GB/T 24720-2009标准，R1级反光膜，反光逆反射系数值不低于GB/T 18833二级反光膜的要求;锥顶口平整，无变形，橡塑材质;锥套材质底料为：布基</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21</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安全展板画面</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22</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气瓶推车</w:t>
            </w:r>
          </w:p>
        </w:tc>
        <w:tc>
          <w:tcPr>
            <w:tcW w:w="1907"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top"/>
          </w:tcPr>
          <w:p>
            <w:pPr>
              <w:jc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23</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标识牌</w:t>
            </w:r>
          </w:p>
        </w:tc>
        <w:tc>
          <w:tcPr>
            <w:tcW w:w="1907" w:type="dxa"/>
            <w:vAlign w:val="center"/>
          </w:tcPr>
          <w:p>
            <w:pPr>
              <w:keepNext w:val="0"/>
              <w:keepLines w:val="0"/>
              <w:widowControl/>
              <w:suppressLineNumbers w:val="0"/>
              <w:jc w:val="left"/>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80*100cm</w:t>
            </w:r>
          </w:p>
        </w:tc>
        <w:tc>
          <w:tcPr>
            <w:tcW w:w="2175" w:type="dxa"/>
            <w:vAlign w:val="center"/>
          </w:tcPr>
          <w:p>
            <w:pPr>
              <w:keepNext w:val="0"/>
              <w:keepLines w:val="0"/>
              <w:widowControl/>
              <w:suppressLineNumbers w:val="0"/>
              <w:jc w:val="left"/>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30*30方通铁管、45度切角焊接固定，Φ48圆管，标牌底部离地2米</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块</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40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24</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挖机操作规程</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60*80写真</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25</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机械回旋半径内禁止站人</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110*50晶彩格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26</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碰撞危险</w:t>
            </w:r>
          </w:p>
        </w:tc>
        <w:tc>
          <w:tcPr>
            <w:tcW w:w="1907"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15*20，晶彩格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张</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60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72"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27</w:t>
            </w:r>
          </w:p>
        </w:tc>
        <w:tc>
          <w:tcPr>
            <w:tcW w:w="1981"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三角彩旗</w:t>
            </w:r>
          </w:p>
        </w:tc>
        <w:tc>
          <w:tcPr>
            <w:tcW w:w="1907"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p>
        </w:tc>
        <w:tc>
          <w:tcPr>
            <w:tcW w:w="2175" w:type="dxa"/>
            <w:vAlign w:val="center"/>
          </w:tcPr>
          <w:p>
            <w:pP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aps w:val="0"/>
                <w:color w:val="444444"/>
                <w:spacing w:val="0"/>
                <w:sz w:val="24"/>
                <w:szCs w:val="24"/>
                <w:shd w:val="clear" w:fill="FFFFFF"/>
                <w:vertAlign w:val="baseline"/>
                <w:lang w:val="en-US" w:eastAsia="zh-CN"/>
              </w:rPr>
              <w:t>大号，绳子为麻绳，每包不小于50M</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包</w:t>
            </w:r>
          </w:p>
        </w:tc>
        <w:tc>
          <w:tcPr>
            <w:tcW w:w="840" w:type="dxa"/>
            <w:vAlign w:val="center"/>
          </w:tcPr>
          <w:p>
            <w:pPr>
              <w:keepNext w:val="0"/>
              <w:keepLines w:val="0"/>
              <w:widowControl/>
              <w:suppressLineNumbers w:val="0"/>
              <w:jc w:val="center"/>
              <w:textAlignment w:val="center"/>
              <w:rPr>
                <w:rFonts w:hint="eastAsia" w:ascii="仿宋" w:hAnsi="仿宋" w:eastAsia="仿宋" w:cs="仿宋"/>
                <w:i w:val="0"/>
                <w:iCs w:val="0"/>
                <w:caps w:val="0"/>
                <w:color w:val="444444"/>
                <w:spacing w:val="0"/>
                <w:sz w:val="24"/>
                <w:szCs w:val="24"/>
                <w:shd w:val="clear" w:fill="FFFFFF"/>
                <w:vertAlign w:val="baseline"/>
                <w:lang w:val="en-US" w:eastAsia="zh-CN"/>
              </w:rPr>
            </w:pPr>
            <w:r>
              <w:rPr>
                <w:rFonts w:hint="eastAsia" w:ascii="仿宋" w:hAnsi="仿宋" w:eastAsia="仿宋" w:cs="仿宋"/>
                <w:i w:val="0"/>
                <w:iCs w:val="0"/>
                <w:color w:val="000000"/>
                <w:kern w:val="0"/>
                <w:sz w:val="24"/>
                <w:szCs w:val="24"/>
                <w:u w:val="none"/>
                <w:lang w:val="en-US" w:eastAsia="zh-CN" w:bidi="ar"/>
              </w:rPr>
              <w:t>300</w:t>
            </w:r>
          </w:p>
        </w:tc>
        <w:tc>
          <w:tcPr>
            <w:tcW w:w="1605" w:type="dxa"/>
          </w:tcPr>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i w:val="0"/>
                <w:iCs w:val="0"/>
                <w:caps w:val="0"/>
                <w:color w:val="444444"/>
                <w:spacing w:val="0"/>
                <w:sz w:val="24"/>
                <w:szCs w:val="24"/>
                <w:shd w:val="clear" w:fill="FFFFFF"/>
                <w:vertAlign w:val="baseline"/>
                <w:lang w:val="en-US" w:eastAsia="zh-CN"/>
              </w:rPr>
            </w:pPr>
          </w:p>
        </w:tc>
      </w:tr>
    </w:tbl>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kern w:val="2"/>
          <w:sz w:val="24"/>
          <w:szCs w:val="24"/>
          <w:shd w:val="clear" w:fill="FFFFFF"/>
          <w:lang w:val="en-US" w:eastAsia="zh-CN" w:bidi="ar-SA"/>
        </w:rPr>
        <w:t>二、</w:t>
      </w:r>
      <w:r>
        <w:rPr>
          <w:rFonts w:hint="eastAsia" w:ascii="宋体" w:hAnsi="宋体" w:eastAsia="宋体" w:cs="宋体"/>
          <w:i w:val="0"/>
          <w:iCs w:val="0"/>
          <w:caps w:val="0"/>
          <w:color w:val="444444"/>
          <w:spacing w:val="0"/>
          <w:sz w:val="24"/>
          <w:szCs w:val="24"/>
          <w:shd w:val="clear" w:fill="FFFFFF"/>
          <w:lang w:val="en-US" w:eastAsia="zh-CN"/>
        </w:rPr>
        <w:t>质量标准及要求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应符合现行国家标准及行业标准的通用技术要求.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供方提供的货物必须符合广西路建集团建筑工程有限公司那平高速房建工程项目经理部工程设计图纸要求，货物的生产设备、生产工艺满足需方工程项目的设计要求，及需方工程项目业主、监理对货物生产质量的相关规定。如需方工程项目业主、监理方对货物的质量及其生产设备与工艺、检验有其它明确规定和要求，从其规定和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交货期：2023年10月至工程项目完工，具体进度视项目情况而定。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kern w:val="2"/>
          <w:sz w:val="24"/>
          <w:szCs w:val="24"/>
          <w:shd w:val="clear" w:fill="FFFFFF"/>
          <w:lang w:val="en-US" w:eastAsia="zh-CN" w:bidi="ar-SA"/>
        </w:rPr>
        <w:t>三、</w:t>
      </w:r>
      <w:r>
        <w:rPr>
          <w:rFonts w:hint="eastAsia" w:ascii="宋体" w:hAnsi="宋体" w:eastAsia="宋体" w:cs="宋体"/>
          <w:i w:val="0"/>
          <w:iCs w:val="0"/>
          <w:caps w:val="0"/>
          <w:color w:val="444444"/>
          <w:spacing w:val="0"/>
          <w:sz w:val="24"/>
          <w:szCs w:val="24"/>
          <w:shd w:val="clear" w:fill="FFFFFF"/>
          <w:lang w:val="en-US" w:eastAsia="zh-CN"/>
        </w:rPr>
        <w:t>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（一）资质要求：在中国境内依法注册，具有独立法人资格，具有合法、有效的企业法人营业执照；要求供应商能够提供合法的增值税普通发票。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（二）财务要求：供应商具有较强经济实力和良好的财务状况，同时具备20万元的资金垫资能力。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三）信誉要求：供应商应有较好的商业信誉。工作信誉不佳、有过不良履约记录的单位不能参与报名，均按否决竞选处理。根据最高人民法院等9部门《关于在招竞选活动中对失信被执行人实施联合惩戒的通知》（法（2016）285号）规定，对在“信用中国”网站（www.creditchina.gov.cn）中被列入失信被执行人或重大税收违法案件当事人名单，或政府采购严重违法失信名单的供应商，不得参加竞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（四）其他要求：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1.本次采购不接受联合体参与竞选。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   2.与采购人存在利害关系可能影响选取公正性的法人、其他组织或者个人，不得参加竞选。若单位负责人为同一人、或者存在控股、管理关系的不同单位，不得参加同一标段竞选，否则按否决其竞选处理。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80" w:lineRule="atLeast"/>
        <w:ind w:left="0" w:right="0" w:firstLine="0"/>
        <w:jc w:val="both"/>
        <w:rPr>
          <w:rFonts w:hint="eastAsia" w:ascii="宋体" w:hAnsi="宋体" w:eastAsia="宋体" w:cs="宋体"/>
          <w:i w:val="0"/>
          <w:iCs w:val="0"/>
          <w:caps w:val="0"/>
          <w:color w:val="444444"/>
          <w:spacing w:val="0"/>
          <w:kern w:val="2"/>
          <w:sz w:val="24"/>
          <w:szCs w:val="24"/>
          <w:shd w:val="clear" w:fill="FFFFFF"/>
          <w:lang w:val="en-US" w:eastAsia="zh-CN" w:bidi="ar-SA"/>
        </w:rPr>
      </w:pPr>
      <w:r>
        <w:rPr>
          <w:rFonts w:hint="eastAsia" w:ascii="宋体" w:hAnsi="宋体" w:eastAsia="宋体" w:cs="宋体"/>
          <w:i w:val="0"/>
          <w:iCs w:val="0"/>
          <w:caps w:val="0"/>
          <w:color w:val="444444"/>
          <w:spacing w:val="0"/>
          <w:kern w:val="2"/>
          <w:sz w:val="24"/>
          <w:szCs w:val="24"/>
          <w:shd w:val="clear" w:fill="FFFFFF"/>
          <w:lang w:val="en-US" w:eastAsia="zh-CN" w:bidi="ar-SA"/>
        </w:rPr>
        <w:t>（五）专项资格要求：无。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四、报名及询价文件的获取方式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报名方式：先通过广西北部湾投资集团有限公司电子招采平台。（https://ebidding.bgigc.com/ ），成功注册为平台供应商，再登录平台进行网上报名（采购管理→公告公示→找到对应的项目公告进行报名）。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报名时间：自公告发布之日起至2023年10月23日8时30分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询价文件获取方式及时间：“采购管理”→“我参与的项目”→“参与项目”→“询价文件”查看询价文件。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选取时间：2023年10月23日8时30分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报名需上传材料：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选取地点：广西北部湾投资集团有限公司电子招采平台。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kern w:val="2"/>
          <w:sz w:val="24"/>
          <w:szCs w:val="24"/>
          <w:shd w:val="clear" w:fill="FFFFFF"/>
          <w:lang w:val="en-US" w:eastAsia="zh-CN" w:bidi="ar-SA"/>
        </w:rPr>
        <w:t>五、</w:t>
      </w:r>
      <w:r>
        <w:rPr>
          <w:rFonts w:hint="eastAsia" w:ascii="宋体" w:hAnsi="宋体" w:eastAsia="宋体" w:cs="宋体"/>
          <w:i w:val="0"/>
          <w:iCs w:val="0"/>
          <w:caps w:val="0"/>
          <w:color w:val="444444"/>
          <w:spacing w:val="0"/>
          <w:sz w:val="24"/>
          <w:szCs w:val="24"/>
          <w:shd w:val="clear" w:fill="FFFFFF"/>
          <w:lang w:val="en-US" w:eastAsia="zh-CN"/>
        </w:rPr>
        <w:t>联系方式：黄先生 15578271882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444444"/>
          <w:spacing w:val="0"/>
          <w:sz w:val="24"/>
          <w:szCs w:val="24"/>
          <w:shd w:val="clear" w:fill="FFFFFF"/>
          <w:lang w:val="en-US" w:eastAsia="zh-CN"/>
        </w:rPr>
        <w:t xml:space="preserve"> </w:t>
      </w:r>
      <w:r>
        <w:rPr>
          <w:rFonts w:hint="eastAsia" w:ascii="宋体" w:hAnsi="宋体" w:eastAsia="宋体" w:cs="宋体"/>
          <w:b w:val="0"/>
          <w:bCs w:val="0"/>
          <w:sz w:val="24"/>
          <w:szCs w:val="24"/>
          <w:lang w:val="en-US" w:eastAsia="zh-CN"/>
        </w:rPr>
        <w:t>广西路建工程集团有限公司那平高速房建项目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444444"/>
          <w:spacing w:val="0"/>
          <w:sz w:val="24"/>
          <w:szCs w:val="24"/>
          <w:shd w:val="clear" w:fill="FFFFFF"/>
          <w:lang w:val="en-US" w:eastAsia="zh-CN"/>
        </w:rPr>
        <w:t>2023年10月20日</w:t>
      </w:r>
    </w:p>
    <w:bookmarkEnd w:id="0"/>
    <w:sectPr>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11555"/>
    <w:multiLevelType w:val="singleLevel"/>
    <w:tmpl w:val="11B11555"/>
    <w:lvl w:ilvl="0" w:tentative="0">
      <w:start w:val="1"/>
      <w:numFmt w:val="chineseCounting"/>
      <w:suff w:val="nothing"/>
      <w:lvlText w:val="（%1）"/>
      <w:lvlJc w:val="left"/>
      <w:rPr>
        <w:rFonts w:hint="eastAsia"/>
      </w:rPr>
    </w:lvl>
  </w:abstractNum>
  <w:abstractNum w:abstractNumId="1">
    <w:nsid w:val="24D9CCC3"/>
    <w:multiLevelType w:val="singleLevel"/>
    <w:tmpl w:val="24D9CCC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NjhjMzE0NTlmNTlkYTUzYjNjM2I3NDE5NjY3M2MifQ=="/>
  </w:docVars>
  <w:rsids>
    <w:rsidRoot w:val="00000000"/>
    <w:rsid w:val="05250400"/>
    <w:rsid w:val="13CC6DA3"/>
    <w:rsid w:val="1AB03613"/>
    <w:rsid w:val="21E36600"/>
    <w:rsid w:val="294A68B7"/>
    <w:rsid w:val="41202C33"/>
    <w:rsid w:val="538F6AF5"/>
    <w:rsid w:val="53B2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371</Characters>
  <Lines>0</Lines>
  <Paragraphs>0</Paragraphs>
  <TotalTime>6</TotalTime>
  <ScaleCrop>false</ScaleCrop>
  <LinksUpToDate>false</LinksUpToDate>
  <CharactersWithSpaces>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2023-05-23T03:29:00Z</dcterms:created>
  <dc:creator>zhangyongxiang</dc:creator>
  <cp:lastModifiedBy>肥仔儿</cp:lastModifiedBy>
  <dcterms:modified xsi:type="dcterms:W3CDTF">2023-10-20T03:24:26Z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9C5C0FD7DDD147FC83096D26D9CE72A8</vt:lpwstr>
  </property>
</Properties>
</file>