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广西路建工程集团有限公司一公司</w:t>
      </w:r>
    </w:p>
    <w:p>
      <w:pPr>
        <w:jc w:val="center"/>
        <w:rPr>
          <w:rFonts w:hint="eastAsia"/>
          <w:b/>
          <w:bCs/>
          <w:sz w:val="36"/>
          <w:szCs w:val="36"/>
        </w:rPr>
      </w:pPr>
      <w:r>
        <w:rPr>
          <w:rFonts w:hint="eastAsia"/>
          <w:b/>
          <w:bCs/>
          <w:sz w:val="36"/>
          <w:szCs w:val="36"/>
        </w:rPr>
        <w:t>信都至梧州高速公路一期工程项目复垦工程</w:t>
      </w:r>
    </w:p>
    <w:p>
      <w:pPr>
        <w:jc w:val="center"/>
        <w:rPr>
          <w:rFonts w:hint="eastAsia"/>
          <w:b/>
          <w:bCs/>
          <w:sz w:val="36"/>
          <w:szCs w:val="36"/>
        </w:rPr>
      </w:pPr>
      <w:r>
        <w:rPr>
          <w:rFonts w:hint="eastAsia"/>
          <w:b/>
          <w:bCs/>
          <w:sz w:val="36"/>
          <w:szCs w:val="36"/>
        </w:rPr>
        <w:t>中标候选人公示</w:t>
      </w:r>
    </w:p>
    <w:p>
      <w:pPr>
        <w:ind w:firstLine="560" w:firstLineChars="200"/>
        <w:rPr>
          <w:rFonts w:hint="eastAsia"/>
          <w:sz w:val="28"/>
          <w:szCs w:val="28"/>
        </w:rPr>
      </w:pPr>
      <w:r>
        <w:rPr>
          <w:rFonts w:hint="eastAsia"/>
          <w:sz w:val="28"/>
          <w:szCs w:val="28"/>
        </w:rPr>
        <w:t>广西壮族自治区信都至梧州高速公路一期工程项目是广西路建工程集团有限公司一公司在建项目，因工程施工需要，面向本集团公司合格供应商库内部邀请复垦工程供应商，本次选取工作已结束，根据我集团公司相关制度规定，现对评选结果予以公示，确定的中选人情况如下：</w:t>
      </w:r>
    </w:p>
    <w:tbl>
      <w:tblPr>
        <w:tblStyle w:val="3"/>
        <w:tblW w:w="1025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72"/>
        <w:gridCol w:w="2060"/>
        <w:gridCol w:w="1395"/>
        <w:gridCol w:w="930"/>
        <w:gridCol w:w="1061"/>
        <w:gridCol w:w="1226"/>
        <w:gridCol w:w="1805"/>
        <w:gridCol w:w="120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3"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81" w:beforeAutospacing="0" w:after="150" w:afterAutospacing="0"/>
              <w:ind w:left="42" w:right="34"/>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序号</w:t>
            </w:r>
          </w:p>
        </w:tc>
        <w:tc>
          <w:tcPr>
            <w:tcW w:w="146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right="0"/>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选取编号</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81" w:beforeAutospacing="0" w:after="150" w:afterAutospacing="0"/>
              <w:ind w:right="250"/>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项目简称</w:t>
            </w:r>
          </w:p>
        </w:tc>
        <w:tc>
          <w:tcPr>
            <w:tcW w:w="100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right="0"/>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分部工程</w:t>
            </w:r>
          </w:p>
        </w:tc>
        <w:tc>
          <w:tcPr>
            <w:tcW w:w="114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right="0"/>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选取内容</w:t>
            </w: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right="8"/>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中选价(元)</w:t>
            </w:r>
          </w:p>
        </w:tc>
        <w:tc>
          <w:tcPr>
            <w:tcW w:w="197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right="0"/>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中选单位</w:t>
            </w:r>
          </w:p>
        </w:tc>
        <w:tc>
          <w:tcPr>
            <w:tcW w:w="13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right="139"/>
              <w:jc w:val="center"/>
              <w:rPr>
                <w:rFonts w:hint="eastAsia" w:ascii="宋体" w:hAnsi="宋体" w:eastAsia="宋体" w:cs="宋体"/>
              </w:rPr>
            </w:pPr>
            <w:r>
              <w:rPr>
                <w:rFonts w:hint="eastAsia" w:ascii="宋体" w:hAnsi="宋体" w:eastAsia="宋体" w:cs="宋体"/>
                <w:b/>
                <w:bCs/>
                <w:i w:val="0"/>
                <w:iCs w:val="0"/>
                <w:caps w:val="0"/>
                <w:color w:val="1C1C1C"/>
                <w:spacing w:val="0"/>
                <w:sz w:val="24"/>
                <w:szCs w:val="24"/>
              </w:rPr>
              <w:t>选取方式</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75" w:hRule="atLeast"/>
          <w:jc w:val="center"/>
        </w:trPr>
        <w:tc>
          <w:tcPr>
            <w:tcW w:w="60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139" w:right="10"/>
              <w:jc w:val="center"/>
              <w:rPr>
                <w:rFonts w:hint="eastAsia" w:ascii="宋体" w:hAnsi="宋体" w:eastAsia="宋体" w:cs="宋体"/>
              </w:rPr>
            </w:pPr>
          </w:p>
          <w:p>
            <w:pPr>
              <w:pStyle w:val="2"/>
              <w:keepNext w:val="0"/>
              <w:keepLines w:val="0"/>
              <w:widowControl/>
              <w:suppressLineNumbers w:val="0"/>
              <w:spacing w:before="0" w:beforeAutospacing="0" w:after="150" w:afterAutospacing="0"/>
              <w:ind w:left="139" w:right="10"/>
              <w:jc w:val="center"/>
              <w:rPr>
                <w:rFonts w:hint="eastAsia" w:ascii="宋体" w:hAnsi="宋体" w:eastAsia="宋体" w:cs="宋体"/>
              </w:rPr>
            </w:pPr>
            <w:r>
              <w:rPr>
                <w:rFonts w:hint="eastAsia" w:ascii="宋体" w:hAnsi="宋体" w:eastAsia="宋体" w:cs="宋体"/>
                <w:i w:val="0"/>
                <w:iCs w:val="0"/>
                <w:caps w:val="0"/>
                <w:color w:val="1C1C1C"/>
                <w:spacing w:val="0"/>
                <w:sz w:val="24"/>
                <w:szCs w:val="24"/>
              </w:rPr>
              <w:t>1</w:t>
            </w:r>
          </w:p>
        </w:tc>
        <w:tc>
          <w:tcPr>
            <w:tcW w:w="146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i w:val="0"/>
                <w:iCs w:val="0"/>
                <w:caps w:val="0"/>
                <w:color w:val="1C1C1C"/>
                <w:spacing w:val="0"/>
                <w:sz w:val="24"/>
                <w:szCs w:val="24"/>
              </w:rPr>
              <w:t>LJGC-2023-GC12698</w:t>
            </w:r>
          </w:p>
        </w:tc>
        <w:tc>
          <w:tcPr>
            <w:tcW w:w="149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10"/>
              <w:jc w:val="center"/>
              <w:rPr>
                <w:rFonts w:hint="eastAsia" w:ascii="宋体" w:hAnsi="宋体" w:eastAsia="宋体" w:cs="宋体"/>
                <w:lang w:eastAsia="zh-CN"/>
              </w:rPr>
            </w:pPr>
            <w:r>
              <w:rPr>
                <w:rFonts w:hint="eastAsia" w:ascii="宋体" w:hAnsi="宋体" w:eastAsia="宋体" w:cs="宋体"/>
                <w:i w:val="0"/>
                <w:iCs w:val="0"/>
                <w:caps w:val="0"/>
                <w:color w:val="1C1C1C"/>
                <w:spacing w:val="0"/>
                <w:sz w:val="24"/>
                <w:szCs w:val="24"/>
                <w:lang w:eastAsia="zh-CN"/>
              </w:rPr>
              <w:t>信梧一期</w:t>
            </w:r>
          </w:p>
        </w:tc>
        <w:tc>
          <w:tcPr>
            <w:tcW w:w="100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4"/>
                <w:szCs w:val="24"/>
                <w:lang w:eastAsia="zh-CN"/>
              </w:rPr>
              <w:t>复垦</w:t>
            </w:r>
            <w:r>
              <w:rPr>
                <w:rFonts w:hint="eastAsia" w:ascii="宋体" w:hAnsi="宋体" w:eastAsia="宋体" w:cs="宋体"/>
                <w:i w:val="0"/>
                <w:iCs w:val="0"/>
                <w:caps w:val="0"/>
                <w:color w:val="000000"/>
                <w:spacing w:val="0"/>
                <w:sz w:val="24"/>
                <w:szCs w:val="24"/>
              </w:rPr>
              <w:t>工程</w:t>
            </w:r>
          </w:p>
        </w:tc>
        <w:tc>
          <w:tcPr>
            <w:tcW w:w="1144"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37" w:right="26"/>
              <w:jc w:val="center"/>
              <w:rPr>
                <w:rFonts w:hint="eastAsia" w:ascii="宋体" w:hAnsi="宋体" w:eastAsia="宋体" w:cs="宋体"/>
              </w:rPr>
            </w:pPr>
            <w:r>
              <w:rPr>
                <w:rFonts w:hint="eastAsia" w:ascii="宋体" w:hAnsi="宋体" w:eastAsia="宋体" w:cs="宋体"/>
                <w:i w:val="0"/>
                <w:iCs w:val="0"/>
                <w:caps w:val="0"/>
                <w:color w:val="000000"/>
                <w:spacing w:val="0"/>
                <w:sz w:val="24"/>
                <w:szCs w:val="24"/>
                <w:lang w:eastAsia="zh-CN"/>
              </w:rPr>
              <w:t>复垦</w:t>
            </w:r>
            <w:r>
              <w:rPr>
                <w:rFonts w:hint="eastAsia" w:ascii="宋体" w:hAnsi="宋体" w:eastAsia="宋体" w:cs="宋体"/>
                <w:i w:val="0"/>
                <w:iCs w:val="0"/>
                <w:caps w:val="0"/>
                <w:color w:val="000000"/>
                <w:spacing w:val="0"/>
                <w:sz w:val="24"/>
                <w:szCs w:val="24"/>
              </w:rPr>
              <w:t>工程</w:t>
            </w:r>
          </w:p>
        </w:tc>
        <w:tc>
          <w:tcPr>
            <w:tcW w:w="127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i w:val="0"/>
                <w:iCs w:val="0"/>
                <w:caps w:val="0"/>
                <w:color w:val="1C1C1C"/>
                <w:spacing w:val="0"/>
                <w:sz w:val="22"/>
                <w:szCs w:val="22"/>
              </w:rPr>
              <w:t>1978568</w:t>
            </w:r>
          </w:p>
        </w:tc>
        <w:tc>
          <w:tcPr>
            <w:tcW w:w="1979"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4"/>
                <w:szCs w:val="24"/>
              </w:rPr>
              <w:t>湖南鑫和路桥建设有限公司</w:t>
            </w:r>
          </w:p>
        </w:tc>
        <w:tc>
          <w:tcPr>
            <w:tcW w:w="1300"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139"/>
              <w:jc w:val="center"/>
              <w:rPr>
                <w:rFonts w:hint="eastAsia" w:ascii="宋体" w:hAnsi="宋体" w:eastAsia="宋体" w:cs="宋体"/>
              </w:rPr>
            </w:pPr>
            <w:r>
              <w:rPr>
                <w:rFonts w:hint="eastAsia" w:ascii="宋体" w:hAnsi="宋体" w:eastAsia="宋体" w:cs="宋体"/>
                <w:i w:val="0"/>
                <w:iCs w:val="0"/>
                <w:caps w:val="0"/>
                <w:color w:val="1C1C1C"/>
                <w:spacing w:val="0"/>
                <w:sz w:val="24"/>
                <w:szCs w:val="24"/>
              </w:rPr>
              <w:t>邀请选取</w:t>
            </w:r>
          </w:p>
        </w:tc>
      </w:tr>
    </w:tbl>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公示期为3天，如有异议，请以书面形式并署真实姓名和联系方式 ，于2023年12月1日前邮寄或直接送至中共广西路建工程集团有限公司纪律检查委员会派驻第一纪检监察组或成本合约部（邮寄以邮戳日期为准），邮编：530001，联系人：韦淑、卢艳春，联系电话：0771-8060607、0771-8060601。</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选取人：广西路建工程集团有限公司一公司信都至梧州高速公路一期工程项目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2023年11月27日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DI5NWMzYmYxY2VjYjMxMTRkMzEwYWIyNTA2ZTEifQ=="/>
  </w:docVars>
  <w:rsids>
    <w:rsidRoot w:val="00000000"/>
    <w:rsid w:val="0146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2023-11-27T07:04:23Z</dcterms:created>
  <dc:creator>Administrator</dc:creator>
  <cp:lastModifiedBy>韦佳</cp:lastModifiedBy>
  <dcterms:modified xsi:type="dcterms:W3CDTF">2023-11-27T07:06:37Z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EA953E9B3EF54C09B830A550F6D8FC5E_12</vt:lpwstr>
  </property>
</Properties>
</file>