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420"/>
        <w:rPr>
          <w:rFonts w:hint="eastAsia" w:ascii="宋体" w:hAnsi="宋体" w:eastAsia="宋体" w:cs="宋体"/>
          <w:b/>
          <w:kern w:val="1"/>
          <w:sz w:val="44"/>
          <w:szCs w:val="44"/>
          <w:lang w:eastAsia="zh-CN"/>
        </w:rPr>
      </w:pPr>
    </w:p>
    <w:p>
      <w:pPr>
        <w:pStyle w:val="6"/>
        <w:ind w:firstLine="420"/>
        <w:rPr>
          <w:rFonts w:hint="eastAsia" w:ascii="宋体" w:hAnsi="宋体" w:eastAsia="宋体" w:cs="宋体"/>
          <w:b/>
          <w:kern w:val="1"/>
          <w:sz w:val="44"/>
          <w:szCs w:val="44"/>
          <w:lang w:eastAsia="zh-CN"/>
        </w:rPr>
      </w:pPr>
    </w:p>
    <w:p>
      <w:pPr>
        <w:pStyle w:val="6"/>
        <w:rPr>
          <w:rFonts w:hint="eastAsia" w:ascii="宋体" w:hAnsi="宋体" w:eastAsia="宋体" w:cs="宋体"/>
          <w:b/>
          <w:kern w:val="1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紫云凤景湾项目17#楼样板间通道包装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ascii="仿宋" w:hAnsi="仿宋" w:eastAsia="仿宋_GB2312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项目名称：紫云凤景湾项目17#楼样板间通道包装</w:t>
      </w:r>
    </w:p>
    <w:p>
      <w:pPr>
        <w:pStyle w:val="1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hint="eastAsia" w:ascii="宋体" w:hAnsi="宋体" w:eastAsia="宋体" w:cs="宋体"/>
          <w:b/>
          <w:kern w:val="1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kern w:val="1"/>
          <w:sz w:val="28"/>
          <w:szCs w:val="28"/>
        </w:rPr>
        <w:t>采 购 人：</w:t>
      </w:r>
      <w:r>
        <w:rPr>
          <w:rFonts w:hint="eastAsia" w:ascii="宋体" w:hAnsi="宋体" w:eastAsia="宋体" w:cs="宋体"/>
          <w:b/>
          <w:kern w:val="1"/>
          <w:sz w:val="28"/>
          <w:szCs w:val="28"/>
          <w:u w:val="single"/>
        </w:rPr>
        <w:t>广西北投营销策划有限公司</w:t>
      </w:r>
    </w:p>
    <w:p>
      <w:pPr>
        <w:spacing w:line="540" w:lineRule="exact"/>
        <w:rPr>
          <w:rFonts w:hint="eastAsia" w:ascii="宋体" w:hAnsi="宋体" w:eastAsia="宋体" w:cs="宋体"/>
          <w:b/>
          <w:kern w:val="1"/>
          <w:sz w:val="28"/>
          <w:szCs w:val="28"/>
        </w:rPr>
      </w:pPr>
    </w:p>
    <w:p>
      <w:pPr>
        <w:pStyle w:val="7"/>
        <w:jc w:val="center"/>
        <w:rPr>
          <w:rFonts w:hint="eastAsia" w:ascii="宋体" w:hAnsi="宋体" w:eastAsia="宋体" w:cs="宋体"/>
          <w:b/>
          <w:kern w:val="1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1"/>
          <w:sz w:val="28"/>
          <w:szCs w:val="28"/>
          <w:highlight w:val="none"/>
          <w:lang w:val="en-US" w:eastAsia="zh-CN" w:bidi="ar-SA"/>
        </w:rPr>
        <w:t>日期：2024年1月9日</w:t>
      </w:r>
    </w:p>
    <w:p>
      <w:pPr>
        <w:pStyle w:val="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jc w:val="center"/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紫云凤景湾项目17#楼样板间通道包装采购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公告</w:t>
      </w:r>
    </w:p>
    <w:p>
      <w:pPr>
        <w:pStyle w:val="8"/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我公司紫云凤景湾项目17#楼样板间通道包装,项目编号：BTDC-2024-HW0311，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，欢迎各单位参加本次报价，现将有关事项通知如下：</w:t>
      </w:r>
    </w:p>
    <w:p>
      <w:pPr>
        <w:pStyle w:val="13"/>
        <w:spacing w:line="560" w:lineRule="exact"/>
        <w:ind w:firstLine="640"/>
        <w:outlineLvl w:val="1"/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一、项目基本情况</w:t>
      </w:r>
    </w:p>
    <w:p>
      <w:pPr>
        <w:pStyle w:val="8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项目地点：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贺州北投紫云凤景湾项目。</w:t>
      </w:r>
    </w:p>
    <w:p>
      <w:pPr>
        <w:pStyle w:val="8"/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紫云凤景湾项目17#楼样板间通道包装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采购内容：看房通道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整体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包装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包含看房指引、灯光亮化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绿草皮、喷绘、车贴等，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详细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线上报名成功后，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详见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“十、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文件 (格式)”中附件1:报价组成清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单。</w:t>
      </w:r>
    </w:p>
    <w:p>
      <w:pPr>
        <w:pStyle w:val="8"/>
        <w:widowControl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服务周期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合同签订后5日内，具体以甲方通知下单时间为准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控制价：23877.70元 （人民币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贰万叁仟捌佰柒拾柒元柒角整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）。报价全部采用人民币表示，报价表要求加盖法人单位公章。报价超出控制价的，其报价文件按无效处理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>。</w:t>
      </w:r>
    </w:p>
    <w:p>
      <w:pPr>
        <w:pStyle w:val="13"/>
        <w:spacing w:line="560" w:lineRule="exact"/>
        <w:ind w:firstLine="640"/>
        <w:outlineLvl w:val="1"/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二、资格要求</w:t>
      </w:r>
    </w:p>
    <w:p>
      <w:pPr>
        <w:pStyle w:val="8"/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在中华人民共和国境内注册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独立法人单位，且经营范围具备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广告设计、广告制作、包装服务等相关内容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ilvl w:val="255"/>
          <w:numId w:val="0"/>
        </w:num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8"/>
        <w:numPr>
          <w:ilvl w:val="255"/>
          <w:numId w:val="0"/>
        </w:num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自202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年1月起在承接过1个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万元以上同类型项目的业绩（证明资料：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须提供业绩证明，业绩证明资料可以为中标通知书或合同关键页复印件并加盖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，时间以业绩证明资料标注的时间为准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）。</w:t>
      </w:r>
    </w:p>
    <w:p>
      <w:pPr>
        <w:pStyle w:val="8"/>
        <w:numPr>
          <w:ilvl w:val="255"/>
          <w:numId w:val="0"/>
        </w:num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负责人为同一人或者存在直接控股、管理关系的不同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，不得参加同一合同项下的采购活动。</w:t>
      </w:r>
    </w:p>
    <w:p>
      <w:pPr>
        <w:pStyle w:val="8"/>
        <w:numPr>
          <w:ilvl w:val="255"/>
          <w:numId w:val="0"/>
        </w:num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本项目不接受联合体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。</w:t>
      </w:r>
    </w:p>
    <w:p>
      <w:pPr>
        <w:pStyle w:val="13"/>
        <w:spacing w:line="560" w:lineRule="exact"/>
        <w:ind w:firstLine="640"/>
        <w:outlineLvl w:val="1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三、交付形式</w:t>
      </w:r>
    </w:p>
    <w:p>
      <w:pPr>
        <w:pStyle w:val="13"/>
        <w:spacing w:line="56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合作商负责在采购人要求期限内完成紫云凤景湾项目17#楼样板间通道包装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事宜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13"/>
        <w:spacing w:line="560" w:lineRule="exact"/>
        <w:ind w:firstLine="640"/>
        <w:outlineLvl w:val="1"/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四、支付方式</w:t>
      </w:r>
    </w:p>
    <w:p>
      <w:pPr>
        <w:pStyle w:val="8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3"/>
        <w:spacing w:line="560" w:lineRule="exact"/>
        <w:ind w:firstLine="640"/>
        <w:outlineLvl w:val="1"/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五、报价文件组成</w:t>
      </w:r>
    </w:p>
    <w:p>
      <w:pPr>
        <w:pStyle w:val="8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具体详见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“十、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文件（格式）”，所有资料均须加盖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单位公章，并按“十、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文件（格式）”顺序排列并扫描。</w:t>
      </w:r>
    </w:p>
    <w:p>
      <w:pPr>
        <w:pStyle w:val="13"/>
        <w:spacing w:line="560" w:lineRule="exact"/>
        <w:ind w:firstLine="640"/>
        <w:outlineLvl w:val="1"/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六、报价要求</w:t>
      </w:r>
    </w:p>
    <w:p>
      <w:pPr>
        <w:pStyle w:val="8"/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根据自身实际情况报价。</w:t>
      </w:r>
    </w:p>
    <w:p>
      <w:pPr>
        <w:pStyle w:val="8"/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本项目采用固定单价形式。固定单价包含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物料制作费、运输费、安装费、人工费、意外保险、执行费用及税费等与之相关的一切费用，实际费用最终据实结算。</w:t>
      </w:r>
    </w:p>
    <w:p>
      <w:pPr>
        <w:pStyle w:val="8"/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报价应按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要求提供报价组成清单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必须就本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项目作完整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一次性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允许有一个报价，有选择的或有条件的报价将不予接受。</w:t>
      </w:r>
    </w:p>
    <w:p>
      <w:pPr>
        <w:pStyle w:val="13"/>
        <w:spacing w:line="560" w:lineRule="exact"/>
        <w:ind w:firstLine="640"/>
        <w:outlineLvl w:val="1"/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评标办法</w:t>
      </w:r>
    </w:p>
    <w:p>
      <w:pPr>
        <w:pStyle w:val="8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本次采购依据最低评标价法，按照不含税总报价由低到高顺序排名。</w:t>
      </w:r>
    </w:p>
    <w:p>
      <w:pPr>
        <w:pStyle w:val="13"/>
        <w:spacing w:line="560" w:lineRule="exact"/>
        <w:ind w:firstLine="640"/>
        <w:outlineLvl w:val="1"/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八、报名及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文件领取</w:t>
      </w:r>
    </w:p>
    <w:p>
      <w:pPr>
        <w:pStyle w:val="8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1月9日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发出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的时间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）至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。本项目不收取报名费、材料费、评审费、保证金等任何费用。</w:t>
      </w:r>
    </w:p>
    <w:p>
      <w:pPr>
        <w:pStyle w:val="8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报名方式：在广西北部湾投资集团有限公司电子招采平台（https://ebidding.bgigc.com/）先注册，后选择本项目申请报名。</w:t>
      </w:r>
    </w:p>
    <w:p>
      <w:pPr>
        <w:pStyle w:val="8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文件获取方式:在广西北部湾投资集团有限公司电子招采平台（https://ebidding.bgigc.com/）下载。</w:t>
      </w:r>
    </w:p>
    <w:p>
      <w:pPr>
        <w:pStyle w:val="13"/>
        <w:spacing w:line="560" w:lineRule="exact"/>
        <w:ind w:firstLine="640"/>
        <w:outlineLvl w:val="1"/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文件提交要求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44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文件必须于20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时前在广西北部湾投资集团有限公司电子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招采平台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（网址：https://ebidding.bgigc.com）提交扫描清楚的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文件（无法辨认的内容按未提供处理）；未按时提交的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文件采购人不予接受。</w:t>
      </w:r>
    </w:p>
    <w:p>
      <w:pPr>
        <w:spacing w:line="44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文件我公司一律不予退回。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应承担编制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文件以及递交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文件涉及的一切费用，无论询价结果如何，采购人对上述费用不负任何责任，也无需对询价结果作任何解释。</w:t>
      </w:r>
    </w:p>
    <w:p>
      <w:pPr>
        <w:spacing w:line="440" w:lineRule="exact"/>
        <w:ind w:firstLine="320" w:firstLineChars="1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贺州北投紫云凤景湾营销中心</w:t>
      </w:r>
    </w:p>
    <w:p>
      <w:pPr>
        <w:spacing w:line="440" w:lineRule="exact"/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张工</w:t>
      </w:r>
    </w:p>
    <w:p>
      <w:pPr>
        <w:spacing w:line="440" w:lineRule="exact"/>
        <w:ind w:firstLine="320" w:firstLineChars="100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电话：1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8376668071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20" w:rightChars="2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广西北投营销策划有限公司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840" w:rightChars="4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6"/>
        <w:rPr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1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/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NTMyMDc2NDJkODRmNjUwYTM2OWRlZGJkNTRiY2EifQ=="/>
  </w:docVars>
  <w:rsids>
    <w:rsidRoot w:val="0BE70D99"/>
    <w:rsid w:val="0BAF00A2"/>
    <w:rsid w:val="0BDF486E"/>
    <w:rsid w:val="0BE70D99"/>
    <w:rsid w:val="165F2A2B"/>
    <w:rsid w:val="17DA1355"/>
    <w:rsid w:val="24686FE5"/>
    <w:rsid w:val="257760D2"/>
    <w:rsid w:val="26726B42"/>
    <w:rsid w:val="2B460CEC"/>
    <w:rsid w:val="302D75E4"/>
    <w:rsid w:val="3A2D2414"/>
    <w:rsid w:val="40B371EE"/>
    <w:rsid w:val="41DC6A45"/>
    <w:rsid w:val="46767AD1"/>
    <w:rsid w:val="47892DC4"/>
    <w:rsid w:val="48012C92"/>
    <w:rsid w:val="4B021E17"/>
    <w:rsid w:val="529C60CF"/>
    <w:rsid w:val="6C9B4F24"/>
    <w:rsid w:val="6CC534C2"/>
    <w:rsid w:val="6CFB5198"/>
    <w:rsid w:val="71DE04A1"/>
    <w:rsid w:val="72BB3CBA"/>
    <w:rsid w:val="76CC0B8C"/>
    <w:rsid w:val="7AE1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1"/>
    <w:pPr>
      <w:ind w:left="566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autoRedefine/>
    <w:qFormat/>
    <w:uiPriority w:val="99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index 5"/>
    <w:basedOn w:val="1"/>
    <w:next w:val="1"/>
    <w:autoRedefine/>
    <w:qFormat/>
    <w:uiPriority w:val="0"/>
    <w:pPr>
      <w:ind w:left="1680"/>
    </w:pPr>
  </w:style>
  <w:style w:type="paragraph" w:styleId="6">
    <w:name w:val="Normal Indent"/>
    <w:basedOn w:val="1"/>
    <w:next w:val="1"/>
    <w:autoRedefine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toa heading"/>
    <w:basedOn w:val="1"/>
    <w:next w:val="1"/>
    <w:autoRedefine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8">
    <w:name w:val="Plain Text"/>
    <w:basedOn w:val="1"/>
    <w:autoRedefine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9">
    <w:name w:val="Normal (Web)"/>
    <w:autoRedefine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customStyle="1" w:styleId="12">
    <w:name w:val="_Style 50"/>
    <w:next w:val="9"/>
    <w:autoRedefine/>
    <w:qFormat/>
    <w:uiPriority w:val="0"/>
    <w:pPr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2727</Words>
  <Characters>3327</Characters>
  <Lines>0</Lines>
  <Paragraphs>0</Paragraphs>
  <TotalTime>6</TotalTime>
  <ScaleCrop>false</ScaleCrop>
  <LinksUpToDate>false</LinksUpToDate>
  <CharactersWithSpaces>3941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2023-12-18T09:31:00Z</dcterms:created>
  <dc:creator>劳建彬,laojianbin</dc:creator>
  <cp:lastModifiedBy>张智华,zhangzhihua</cp:lastModifiedBy>
  <dcterms:modified xsi:type="dcterms:W3CDTF">2024-01-08T13:10:53Z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4575BB1DFF834B18B6E0D0E49AD91E2F_11</vt:lpwstr>
  </property>
</Properties>
</file>