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FE1F4">
      <w:pPr>
        <w:numPr>
          <w:ilvl w:val="-1"/>
          <w:numId w:val="0"/>
        </w:numPr>
        <w:spacing w:line="360" w:lineRule="auto"/>
        <w:ind w:firstLine="883" w:firstLineChars="200"/>
        <w:jc w:val="center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eastAsia="zh-CN"/>
        </w:rPr>
      </w:pPr>
      <w:bookmarkStart w:id="0" w:name="_Toc1331230336"/>
      <w:bookmarkStart w:id="1" w:name="_Toc28018"/>
      <w:bookmarkStart w:id="2" w:name="_Toc6911"/>
      <w:bookmarkStart w:id="3" w:name="_Toc266"/>
      <w:bookmarkStart w:id="4" w:name="_Toc1156394278"/>
      <w:bookmarkStart w:id="5" w:name="_Toc1655155223"/>
      <w:bookmarkStart w:id="6" w:name="_Toc1205435586"/>
      <w:bookmarkStart w:id="7" w:name="_Toc59203261"/>
      <w:bookmarkStart w:id="8" w:name="_Toc21053"/>
      <w:bookmarkStart w:id="9" w:name="_Toc1357924833"/>
      <w:bookmarkStart w:id="10" w:name="_Toc1629883972"/>
      <w:bookmarkStart w:id="11" w:name="_Toc24873"/>
      <w:bookmarkStart w:id="12" w:name="_Toc2652577"/>
      <w:bookmarkStart w:id="13" w:name="_Toc26940"/>
      <w:bookmarkStart w:id="14" w:name="_Toc330253328"/>
      <w:bookmarkStart w:id="15" w:name="_Toc1649168381"/>
      <w:bookmarkStart w:id="16" w:name="_Toc1275963539"/>
      <w:bookmarkStart w:id="17" w:name="_Toc5665"/>
      <w:bookmarkStart w:id="18" w:name="_Toc12820"/>
      <w:bookmarkStart w:id="19" w:name="_Toc26143"/>
      <w:bookmarkStart w:id="20" w:name="_Toc10297"/>
      <w:bookmarkStart w:id="21" w:name="_Toc1603326996"/>
      <w:bookmarkStart w:id="22" w:name="_Toc2096300369"/>
      <w:bookmarkStart w:id="23" w:name="_Toc308"/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eastAsia="zh-CN"/>
        </w:rPr>
        <w:t>联合体协议书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295B72A3">
      <w:pPr>
        <w:spacing w:line="400" w:lineRule="exact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73FAE3E8">
      <w:pPr>
        <w:spacing w:line="440" w:lineRule="exact"/>
        <w:ind w:firstLine="42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（所有成员单位名称）自愿组成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（联合体名称）联合体，共同参加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广西路桥集团建筑工程有限公司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1"/>
          <w:szCs w:val="21"/>
          <w:u w:val="single"/>
          <w:shd w:val="clear"/>
          <w:lang w:val="en-US" w:eastAsia="zh-CN" w:bidi="ar-SA"/>
        </w:rPr>
        <w:t>路桥总部大厦主楼企业展厅、新时代文明实践中心、国企书院装饰装修方案设计、工程施工入围供应商征集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（项目名称）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。现就联合体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事宜订立如下协议。</w:t>
      </w:r>
    </w:p>
    <w:p w14:paraId="79FAFCAA">
      <w:pPr>
        <w:spacing w:line="440" w:lineRule="exact"/>
        <w:ind w:firstLine="42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1、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（某成员单位名称）为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（联合体名称）牵头人。</w:t>
      </w:r>
    </w:p>
    <w:p w14:paraId="367155B3">
      <w:pPr>
        <w:spacing w:line="440" w:lineRule="exact"/>
        <w:ind w:firstLine="42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2、联合体牵头人合法代表联合体各成员负责本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项目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文件编制和合同谈判活动，并代表联合体提交和接收相关的资料、信息及指示，并处理与之有关的一切事务，负责合同实施阶段的主办、组织和协调工作。</w:t>
      </w:r>
    </w:p>
    <w:p w14:paraId="34DCD547">
      <w:pPr>
        <w:spacing w:line="440" w:lineRule="exact"/>
        <w:ind w:firstLine="42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3、联合体将严格按照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文件的各项要求，递交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文件，履行合同，并对外承担连带责任。</w:t>
      </w:r>
    </w:p>
    <w:p w14:paraId="33314FFE">
      <w:pPr>
        <w:spacing w:line="440" w:lineRule="exact"/>
        <w:ind w:left="210" w:firstLine="21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4、联合体各成员单位内部的职责分工如下：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，且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保证金由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（某成员单位名称）缴纳。</w:t>
      </w:r>
    </w:p>
    <w:p w14:paraId="170095C6">
      <w:pPr>
        <w:spacing w:line="440" w:lineRule="exact"/>
        <w:ind w:firstLine="42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5、本协议书自签署之日起生效，合同履行完毕后自动失效。 </w:t>
      </w:r>
    </w:p>
    <w:p w14:paraId="75FCDAD5">
      <w:pPr>
        <w:spacing w:line="440" w:lineRule="exact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35DD2CDE">
      <w:pPr>
        <w:spacing w:line="440" w:lineRule="exact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7A3D95C4">
      <w:pPr>
        <w:spacing w:line="440" w:lineRule="exac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牵头人名称：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（盖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法人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单位章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或电子章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）</w:t>
      </w:r>
    </w:p>
    <w:p w14:paraId="3CDDCA65">
      <w:pPr>
        <w:spacing w:line="440" w:lineRule="exact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7F36CBB5">
      <w:pPr>
        <w:spacing w:line="440" w:lineRule="exact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49205F2D">
      <w:pPr>
        <w:spacing w:line="440" w:lineRule="exac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成员名称：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（盖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法人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单位章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或电子章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）</w:t>
      </w:r>
    </w:p>
    <w:p w14:paraId="61146125">
      <w:pPr>
        <w:spacing w:line="440" w:lineRule="exact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4805BC21">
      <w:pPr>
        <w:spacing w:line="440" w:lineRule="exac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</w:t>
      </w:r>
    </w:p>
    <w:p w14:paraId="4FCC2023">
      <w:pPr>
        <w:spacing w:line="440" w:lineRule="exact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3A54D95E">
      <w:pPr>
        <w:ind w:firstLine="3150" w:firstLineChars="1500"/>
      </w:pPr>
      <w:bookmarkStart w:id="24" w:name="_GoBack"/>
      <w:bookmarkEnd w:id="24"/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highlight w:val="none"/>
        </w:rPr>
        <w:t>年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highlight w:val="none"/>
        </w:rPr>
        <w:t>月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C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</w:style>
  <w:style w:type="paragraph" w:styleId="3">
    <w:name w:val="Body Text"/>
    <w:basedOn w:val="1"/>
    <w:next w:val="4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2025-09-24T09:49:14Z</dcterms:created>
  <dc:creator>QHTF</dc:creator>
  <cp:lastModifiedBy>冯梓岳</cp:lastModifiedBy>
  <dcterms:modified xsi:type="dcterms:W3CDTF">2025-09-24T09:49:35Z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eyJoZGlkIjoiMzdjYWVhMWQ5YjMwOGMyMmIyYWU2ZWYyNDc2ODJhMTQiLCJ1c2VySWQiOiIyMzkxOTc4OTkifQ==</vt:lpwstr>
  </property>
  <property fmtid="{D5CDD505-2E9C-101B-9397-08002B2CF9AE}" pid="4" name="ICV">
    <vt:lpwstr>EB11057A67EE4EBDBA1882F4F5457937_12</vt:lpwstr>
  </property>
</Properties>
</file>